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E46EC" w14:textId="77777777" w:rsidR="00CE0A2F" w:rsidRPr="00CE0A2F" w:rsidRDefault="00CE0A2F" w:rsidP="00CE0A2F">
      <w:pPr>
        <w:spacing w:line="360" w:lineRule="auto"/>
        <w:jc w:val="both"/>
        <w:rPr>
          <w:rFonts w:ascii="Times New Roman" w:hAnsi="Times New Roman" w:cs="Times New Roman"/>
          <w:b/>
          <w:bCs/>
          <w:sz w:val="24"/>
          <w:szCs w:val="24"/>
        </w:rPr>
      </w:pPr>
      <w:r w:rsidRPr="00CE0A2F">
        <w:rPr>
          <w:rFonts w:ascii="Times New Roman" w:hAnsi="Times New Roman" w:cs="Times New Roman"/>
          <w:b/>
          <w:bCs/>
          <w:sz w:val="24"/>
          <w:szCs w:val="24"/>
        </w:rPr>
        <w:t>Señores</w:t>
      </w:r>
    </w:p>
    <w:p w14:paraId="4F67EF61" w14:textId="77777777" w:rsidR="003E7C0F" w:rsidRDefault="00CE0A2F" w:rsidP="00CE0A2F">
      <w:pPr>
        <w:spacing w:line="360" w:lineRule="auto"/>
        <w:jc w:val="both"/>
        <w:rPr>
          <w:rFonts w:ascii="Times New Roman" w:hAnsi="Times New Roman" w:cs="Times New Roman"/>
          <w:b/>
          <w:bCs/>
          <w:sz w:val="24"/>
          <w:szCs w:val="24"/>
        </w:rPr>
      </w:pPr>
      <w:r w:rsidRPr="00CE0A2F">
        <w:rPr>
          <w:rFonts w:ascii="Times New Roman" w:hAnsi="Times New Roman" w:cs="Times New Roman"/>
          <w:b/>
          <w:bCs/>
          <w:sz w:val="24"/>
          <w:szCs w:val="24"/>
        </w:rPr>
        <w:t xml:space="preserve">Oficina de la Alta Comisionada de las Naciones Unidas para los Derechos Humanos (OACNUDH) </w:t>
      </w:r>
    </w:p>
    <w:p w14:paraId="7C984E0E" w14:textId="2F1B8FC9" w:rsidR="003E7C0F" w:rsidRPr="00CE0A2F" w:rsidRDefault="003E7C0F" w:rsidP="00CE0A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E.S.M</w:t>
      </w:r>
    </w:p>
    <w:p w14:paraId="33C5FDCE" w14:textId="77777777" w:rsidR="00CE0A2F" w:rsidRPr="00CE0A2F" w:rsidRDefault="00CE0A2F" w:rsidP="00CE0A2F">
      <w:pPr>
        <w:spacing w:line="360" w:lineRule="auto"/>
        <w:jc w:val="both"/>
        <w:rPr>
          <w:rFonts w:ascii="Times New Roman" w:hAnsi="Times New Roman" w:cs="Times New Roman"/>
          <w:b/>
          <w:bCs/>
          <w:sz w:val="24"/>
          <w:szCs w:val="24"/>
        </w:rPr>
      </w:pPr>
    </w:p>
    <w:p w14:paraId="4DA6A007" w14:textId="08B2A94A" w:rsidR="00CE0A2F" w:rsidRPr="00CE0A2F" w:rsidRDefault="003E7C0F" w:rsidP="00CE0A2F">
      <w:pPr>
        <w:spacing w:line="360" w:lineRule="auto"/>
        <w:jc w:val="both"/>
        <w:rPr>
          <w:rFonts w:ascii="Times New Roman" w:hAnsi="Times New Roman" w:cs="Times New Roman"/>
          <w:sz w:val="24"/>
          <w:szCs w:val="24"/>
        </w:rPr>
      </w:pPr>
      <w:r w:rsidRPr="00CE0A2F">
        <w:rPr>
          <w:rFonts w:ascii="Times New Roman" w:hAnsi="Times New Roman" w:cs="Times New Roman"/>
          <w:b/>
          <w:bCs/>
          <w:sz w:val="24"/>
          <w:szCs w:val="24"/>
        </w:rPr>
        <w:t>Natalia Moreno Rodríguez</w:t>
      </w:r>
      <w:r>
        <w:rPr>
          <w:rFonts w:ascii="Times New Roman" w:hAnsi="Times New Roman" w:cs="Times New Roman"/>
          <w:sz w:val="24"/>
          <w:szCs w:val="24"/>
        </w:rPr>
        <w:t xml:space="preserve"> como representante de </w:t>
      </w:r>
      <w:r w:rsidR="00CE0A2F" w:rsidRPr="00CE0A2F">
        <w:rPr>
          <w:rFonts w:ascii="Times New Roman" w:hAnsi="Times New Roman" w:cs="Times New Roman"/>
          <w:sz w:val="24"/>
          <w:szCs w:val="24"/>
        </w:rPr>
        <w:t xml:space="preserve"> </w:t>
      </w:r>
      <w:r w:rsidR="00CE0A2F" w:rsidRPr="00CE0A2F">
        <w:rPr>
          <w:rFonts w:ascii="Times New Roman" w:hAnsi="Times New Roman" w:cs="Times New Roman"/>
          <w:b/>
          <w:bCs/>
          <w:sz w:val="24"/>
          <w:szCs w:val="24"/>
        </w:rPr>
        <w:t>RED EN COMUNIDAD</w:t>
      </w:r>
      <w:r w:rsidR="00CE0A2F" w:rsidRPr="00CE0A2F">
        <w:rPr>
          <w:rFonts w:ascii="Times New Roman" w:hAnsi="Times New Roman" w:cs="Times New Roman"/>
          <w:sz w:val="24"/>
          <w:szCs w:val="24"/>
        </w:rPr>
        <w:t xml:space="preserve"> </w:t>
      </w:r>
      <w:r>
        <w:rPr>
          <w:rFonts w:ascii="Times New Roman" w:hAnsi="Times New Roman" w:cs="Times New Roman"/>
          <w:sz w:val="24"/>
          <w:szCs w:val="24"/>
        </w:rPr>
        <w:t xml:space="preserve">COLOMBIA y el </w:t>
      </w:r>
      <w:r w:rsidR="00CE0A2F" w:rsidRPr="00CE0A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7C0F">
        <w:rPr>
          <w:rFonts w:ascii="Times New Roman" w:hAnsi="Times New Roman" w:cs="Times New Roman"/>
          <w:b/>
          <w:bCs/>
          <w:sz w:val="24"/>
          <w:szCs w:val="24"/>
        </w:rPr>
        <w:t xml:space="preserve">GUPO DE ACCIONES PÚBLICAS DE LA </w:t>
      </w:r>
      <w:r w:rsidR="00CE0A2F" w:rsidRPr="003E7C0F">
        <w:rPr>
          <w:rFonts w:ascii="Times New Roman" w:hAnsi="Times New Roman" w:cs="Times New Roman"/>
          <w:b/>
          <w:bCs/>
          <w:sz w:val="24"/>
          <w:szCs w:val="24"/>
        </w:rPr>
        <w:t>UNIVERSIDAD</w:t>
      </w:r>
      <w:r w:rsidR="00CE0A2F" w:rsidRPr="00CE0A2F">
        <w:rPr>
          <w:rFonts w:ascii="Times New Roman" w:hAnsi="Times New Roman" w:cs="Times New Roman"/>
          <w:b/>
          <w:bCs/>
          <w:sz w:val="24"/>
          <w:szCs w:val="24"/>
        </w:rPr>
        <w:t xml:space="preserve"> ICESI</w:t>
      </w:r>
      <w:r w:rsidR="00CE0A2F" w:rsidRPr="00CE0A2F">
        <w:rPr>
          <w:rFonts w:ascii="Times New Roman" w:hAnsi="Times New Roman" w:cs="Times New Roman"/>
          <w:sz w:val="24"/>
          <w:szCs w:val="24"/>
        </w:rPr>
        <w:t xml:space="preserve"> </w:t>
      </w:r>
      <w:r>
        <w:rPr>
          <w:rFonts w:ascii="Times New Roman" w:hAnsi="Times New Roman" w:cs="Times New Roman"/>
          <w:sz w:val="24"/>
          <w:szCs w:val="24"/>
        </w:rPr>
        <w:t xml:space="preserve">-GAPI- representando por </w:t>
      </w:r>
      <w:r w:rsidR="00CE0A2F" w:rsidRPr="00CE0A2F">
        <w:rPr>
          <w:rFonts w:ascii="Times New Roman" w:hAnsi="Times New Roman" w:cs="Times New Roman"/>
          <w:sz w:val="24"/>
          <w:szCs w:val="24"/>
        </w:rPr>
        <w:t xml:space="preserve">su coordinadora </w:t>
      </w:r>
      <w:r w:rsidR="00CE0A2F" w:rsidRPr="00CE0A2F">
        <w:rPr>
          <w:rFonts w:ascii="Times New Roman" w:hAnsi="Times New Roman" w:cs="Times New Roman"/>
          <w:b/>
          <w:bCs/>
          <w:sz w:val="24"/>
          <w:szCs w:val="24"/>
        </w:rPr>
        <w:t>Paula Andrea Cerón Arboleda</w:t>
      </w:r>
      <w:r w:rsidR="00CE0A2F" w:rsidRPr="00CE0A2F">
        <w:rPr>
          <w:rFonts w:ascii="Times New Roman" w:hAnsi="Times New Roman" w:cs="Times New Roman"/>
          <w:sz w:val="24"/>
          <w:szCs w:val="24"/>
        </w:rPr>
        <w:t xml:space="preserve"> y los asistentes de investigación, </w:t>
      </w:r>
      <w:r w:rsidR="00CE0A2F" w:rsidRPr="00CE0A2F">
        <w:rPr>
          <w:rFonts w:ascii="Times New Roman" w:hAnsi="Times New Roman" w:cs="Times New Roman"/>
          <w:b/>
          <w:bCs/>
          <w:sz w:val="24"/>
          <w:szCs w:val="24"/>
        </w:rPr>
        <w:t>Herwin Corzo Laverde y Oscar Iván Pineda Aguilar,</w:t>
      </w:r>
      <w:r w:rsidR="00CE0A2F" w:rsidRPr="00CE0A2F">
        <w:rPr>
          <w:rFonts w:ascii="Times New Roman" w:hAnsi="Times New Roman" w:cs="Times New Roman"/>
          <w:sz w:val="24"/>
          <w:szCs w:val="24"/>
        </w:rPr>
        <w:t xml:space="preserve">  en respuesta a la solicitud realizada por la oficina de la Alta Comisionada, present</w:t>
      </w:r>
      <w:r>
        <w:rPr>
          <w:rFonts w:ascii="Times New Roman" w:hAnsi="Times New Roman" w:cs="Times New Roman"/>
          <w:sz w:val="24"/>
          <w:szCs w:val="24"/>
        </w:rPr>
        <w:t>an</w:t>
      </w:r>
      <w:r w:rsidR="00CE0A2F" w:rsidRPr="00CE0A2F">
        <w:rPr>
          <w:rFonts w:ascii="Times New Roman" w:hAnsi="Times New Roman" w:cs="Times New Roman"/>
          <w:sz w:val="24"/>
          <w:szCs w:val="24"/>
        </w:rPr>
        <w:t xml:space="preserve"> el siguiente informe sobre los derechos de las personas con discapacidad a los sistemas de apoyo en Colombia. La respuesta seguirá la identificación temática de la solicitud  y tendrá como base las siguientes consideraciones:</w:t>
      </w:r>
    </w:p>
    <w:p w14:paraId="3978D89F" w14:textId="77777777" w:rsidR="00C22EDC" w:rsidRDefault="00C22EDC" w:rsidP="00C22EDC">
      <w:pPr>
        <w:spacing w:line="360" w:lineRule="auto"/>
        <w:jc w:val="both"/>
        <w:rPr>
          <w:rFonts w:ascii="Times New Roman" w:hAnsi="Times New Roman" w:cs="Times New Roman"/>
          <w:sz w:val="24"/>
          <w:szCs w:val="24"/>
        </w:rPr>
      </w:pPr>
      <w:r w:rsidRPr="0005532D">
        <w:rPr>
          <w:rFonts w:ascii="Times New Roman" w:hAnsi="Times New Roman" w:cs="Times New Roman"/>
          <w:sz w:val="24"/>
          <w:szCs w:val="24"/>
        </w:rPr>
        <w:t>En la creación e implementación de políticas sociales efectivas intervienen, en conjunto, las concepciones sociales extendidas y las estructuras institucionales del</w:t>
      </w:r>
      <w:r>
        <w:rPr>
          <w:rFonts w:ascii="Times New Roman" w:hAnsi="Times New Roman" w:cs="Times New Roman"/>
          <w:sz w:val="24"/>
          <w:szCs w:val="24"/>
        </w:rPr>
        <w:t xml:space="preserve"> Estado</w:t>
      </w:r>
      <w:r w:rsidRPr="0005532D">
        <w:rPr>
          <w:rFonts w:ascii="Times New Roman" w:hAnsi="Times New Roman" w:cs="Times New Roman"/>
          <w:sz w:val="24"/>
          <w:szCs w:val="24"/>
        </w:rPr>
        <w:t xml:space="preserve">, cuyo objeto está en parte delimitado por la incidencia en estas concepciones. En ese sentido, las regulaciones legales y convencionales, creadas con el fin de ser aplicadas por los estados en el marco de sus derechos internos, participan en la producción y reproducción de idearios sociales, pero también, y con mayor importancia, en los efectos materiales de ellos que a la postre pueden implicar la exclusión de la vida pública y el ejercicio de los derechos. </w:t>
      </w:r>
    </w:p>
    <w:p w14:paraId="6C1B2D64" w14:textId="77777777" w:rsidR="00C22EDC" w:rsidRPr="0005532D" w:rsidRDefault="00C22EDC" w:rsidP="00C22EDC">
      <w:pPr>
        <w:spacing w:line="360" w:lineRule="auto"/>
        <w:jc w:val="both"/>
        <w:rPr>
          <w:rFonts w:ascii="Times New Roman" w:hAnsi="Times New Roman" w:cs="Times New Roman"/>
          <w:sz w:val="24"/>
          <w:szCs w:val="24"/>
        </w:rPr>
      </w:pPr>
      <w:r w:rsidRPr="0005532D">
        <w:rPr>
          <w:rFonts w:ascii="Times New Roman" w:hAnsi="Times New Roman" w:cs="Times New Roman"/>
          <w:sz w:val="24"/>
          <w:szCs w:val="24"/>
        </w:rPr>
        <w:t xml:space="preserve">Así, se concreta la relación entre la vida y autonomía de las personas con discapacidad y los derechos que les corresponden como seres humanos. Ante la inactividad institucional, las concepciones discriminatorias, las cuales por sí mismas se convierten en barreras, permanecen socialmente aceptadas y reproducidas. En esa medida, </w:t>
      </w:r>
      <w:r>
        <w:rPr>
          <w:rFonts w:ascii="Times New Roman" w:hAnsi="Times New Roman" w:cs="Times New Roman"/>
          <w:sz w:val="24"/>
          <w:szCs w:val="24"/>
        </w:rPr>
        <w:t xml:space="preserve">se busca </w:t>
      </w:r>
      <w:r w:rsidRPr="0005532D">
        <w:rPr>
          <w:rFonts w:ascii="Times New Roman" w:hAnsi="Times New Roman" w:cs="Times New Roman"/>
          <w:sz w:val="24"/>
          <w:szCs w:val="24"/>
        </w:rPr>
        <w:t xml:space="preserve">argumentar la urgente necesidad de aplicar una de las disposiciones de la Convención de los Derechos </w:t>
      </w:r>
      <w:r>
        <w:rPr>
          <w:rFonts w:ascii="Times New Roman" w:hAnsi="Times New Roman" w:cs="Times New Roman"/>
          <w:sz w:val="24"/>
          <w:szCs w:val="24"/>
        </w:rPr>
        <w:t>d</w:t>
      </w:r>
      <w:r w:rsidRPr="0005532D">
        <w:rPr>
          <w:rFonts w:ascii="Times New Roman" w:hAnsi="Times New Roman" w:cs="Times New Roman"/>
          <w:sz w:val="24"/>
          <w:szCs w:val="24"/>
        </w:rPr>
        <w:t xml:space="preserve">e </w:t>
      </w:r>
      <w:r>
        <w:rPr>
          <w:rFonts w:ascii="Times New Roman" w:hAnsi="Times New Roman" w:cs="Times New Roman"/>
          <w:sz w:val="24"/>
          <w:szCs w:val="24"/>
        </w:rPr>
        <w:t>l</w:t>
      </w:r>
      <w:r w:rsidRPr="0005532D">
        <w:rPr>
          <w:rFonts w:ascii="Times New Roman" w:hAnsi="Times New Roman" w:cs="Times New Roman"/>
          <w:sz w:val="24"/>
          <w:szCs w:val="24"/>
        </w:rPr>
        <w:t xml:space="preserve">as Personas </w:t>
      </w:r>
      <w:r>
        <w:rPr>
          <w:rFonts w:ascii="Times New Roman" w:hAnsi="Times New Roman" w:cs="Times New Roman"/>
          <w:sz w:val="24"/>
          <w:szCs w:val="24"/>
        </w:rPr>
        <w:t>c</w:t>
      </w:r>
      <w:r w:rsidRPr="0005532D">
        <w:rPr>
          <w:rFonts w:ascii="Times New Roman" w:hAnsi="Times New Roman" w:cs="Times New Roman"/>
          <w:sz w:val="24"/>
          <w:szCs w:val="24"/>
        </w:rPr>
        <w:t>on Discapacidad</w:t>
      </w:r>
      <w:r>
        <w:rPr>
          <w:rFonts w:ascii="Times New Roman" w:hAnsi="Times New Roman" w:cs="Times New Roman"/>
          <w:sz w:val="24"/>
          <w:szCs w:val="24"/>
        </w:rPr>
        <w:t xml:space="preserve">  de la ONU</w:t>
      </w:r>
      <w:r w:rsidRPr="0005532D">
        <w:rPr>
          <w:rFonts w:ascii="Times New Roman" w:hAnsi="Times New Roman" w:cs="Times New Roman"/>
          <w:sz w:val="24"/>
          <w:szCs w:val="24"/>
        </w:rPr>
        <w:t xml:space="preserve">,  artículo 19, en el cual se habla de la necesidad de proveer asistencia personal, de modo que se eliminen todas las barreras físicas y simbólicas que impiden el ejercicio de los derechos humanos, más allá de su consagración formal. Esto, en particular, en el contexto latinoamericano, que ha visto avances importantes </w:t>
      </w:r>
      <w:r w:rsidRPr="0005532D">
        <w:rPr>
          <w:rFonts w:ascii="Times New Roman" w:hAnsi="Times New Roman" w:cs="Times New Roman"/>
          <w:sz w:val="24"/>
          <w:szCs w:val="24"/>
        </w:rPr>
        <w:lastRenderedPageBreak/>
        <w:t>en países como Costa Rica</w:t>
      </w:r>
      <w:r>
        <w:rPr>
          <w:rFonts w:ascii="Times New Roman" w:hAnsi="Times New Roman" w:cs="Times New Roman"/>
          <w:sz w:val="24"/>
          <w:szCs w:val="24"/>
        </w:rPr>
        <w:t xml:space="preserve"> y Uruguay</w:t>
      </w:r>
      <w:r w:rsidRPr="0005532D">
        <w:rPr>
          <w:rFonts w:ascii="Times New Roman" w:hAnsi="Times New Roman" w:cs="Times New Roman"/>
          <w:sz w:val="24"/>
          <w:szCs w:val="24"/>
        </w:rPr>
        <w:t>, pero que en general se encuentra ausente de implementación y discusión pública.</w:t>
      </w:r>
    </w:p>
    <w:p w14:paraId="69A9492A" w14:textId="77777777" w:rsidR="00C22EDC" w:rsidRPr="0005532D" w:rsidRDefault="00C22EDC" w:rsidP="00C22EDC">
      <w:pPr>
        <w:spacing w:line="360" w:lineRule="auto"/>
        <w:jc w:val="both"/>
        <w:rPr>
          <w:rFonts w:ascii="Times New Roman" w:hAnsi="Times New Roman" w:cs="Times New Roman"/>
          <w:sz w:val="24"/>
          <w:szCs w:val="24"/>
        </w:rPr>
      </w:pPr>
      <w:r w:rsidRPr="0005532D">
        <w:rPr>
          <w:rFonts w:ascii="Times New Roman" w:hAnsi="Times New Roman" w:cs="Times New Roman"/>
          <w:sz w:val="24"/>
          <w:szCs w:val="24"/>
        </w:rPr>
        <w:t>De acuerdo con el Censo Nacional de Población y Vivienda de 2018, en Colombia 3.134.036 personas con dificultades para realizar actividades diarias. Aquellas que presentan los niveles 1 y 2 de mayor dificultad en la realización de sus actividades según la escala del Grupo Washington -WG- son consideradas en el censo</w:t>
      </w:r>
      <w:r>
        <w:rPr>
          <w:rFonts w:ascii="Times New Roman" w:hAnsi="Times New Roman" w:cs="Times New Roman"/>
          <w:sz w:val="24"/>
          <w:szCs w:val="24"/>
        </w:rPr>
        <w:t xml:space="preserve"> como</w:t>
      </w:r>
      <w:r w:rsidRPr="0005532D">
        <w:rPr>
          <w:rFonts w:ascii="Times New Roman" w:hAnsi="Times New Roman" w:cs="Times New Roman"/>
          <w:sz w:val="24"/>
          <w:szCs w:val="24"/>
        </w:rPr>
        <w:t xml:space="preserve"> Personas con Discapacidad. Esta población sería, entonces, de 1.784.372, un 57% del total que reportó alguna clase de dificultad; es decir, el 4.07% de la población nacional para el 2018</w:t>
      </w:r>
      <w:r w:rsidRPr="0005532D">
        <w:rPr>
          <w:rStyle w:val="FootnoteReference"/>
          <w:rFonts w:ascii="Times New Roman" w:hAnsi="Times New Roman" w:cs="Times New Roman"/>
          <w:sz w:val="24"/>
          <w:szCs w:val="24"/>
        </w:rPr>
        <w:footnoteReference w:id="1"/>
      </w:r>
      <w:r w:rsidRPr="0005532D">
        <w:rPr>
          <w:rFonts w:ascii="Times New Roman" w:hAnsi="Times New Roman" w:cs="Times New Roman"/>
          <w:sz w:val="24"/>
          <w:szCs w:val="24"/>
        </w:rPr>
        <w:t>.</w:t>
      </w:r>
    </w:p>
    <w:p w14:paraId="1E68C992" w14:textId="77777777" w:rsidR="00C22EDC" w:rsidRPr="0005532D" w:rsidRDefault="00C22EDC" w:rsidP="00C22EDC">
      <w:pPr>
        <w:spacing w:line="360" w:lineRule="auto"/>
        <w:jc w:val="both"/>
        <w:rPr>
          <w:rFonts w:ascii="Times New Roman" w:hAnsi="Times New Roman" w:cs="Times New Roman"/>
          <w:sz w:val="24"/>
          <w:szCs w:val="24"/>
        </w:rPr>
      </w:pPr>
      <w:r w:rsidRPr="0005532D">
        <w:rPr>
          <w:rFonts w:ascii="Times New Roman" w:hAnsi="Times New Roman" w:cs="Times New Roman"/>
          <w:sz w:val="24"/>
          <w:szCs w:val="24"/>
        </w:rPr>
        <w:t xml:space="preserve">Ahora bien, las cifras anteriores contrastan con el Registro de Localización y Caracterización de Personas con Discapacidad para diciembre de 2019. Según este, el 2.3% de la población colombiana </w:t>
      </w:r>
      <w:r>
        <w:rPr>
          <w:rFonts w:ascii="Times New Roman" w:hAnsi="Times New Roman" w:cs="Times New Roman"/>
          <w:sz w:val="24"/>
          <w:szCs w:val="24"/>
        </w:rPr>
        <w:t xml:space="preserve">vive con  </w:t>
      </w:r>
      <w:r w:rsidRPr="0005532D">
        <w:rPr>
          <w:rFonts w:ascii="Times New Roman" w:hAnsi="Times New Roman" w:cs="Times New Roman"/>
          <w:sz w:val="24"/>
          <w:szCs w:val="24"/>
        </w:rPr>
        <w:t>algún tipo de discapacidad</w:t>
      </w:r>
      <w:r>
        <w:rPr>
          <w:rFonts w:ascii="Times New Roman" w:hAnsi="Times New Roman" w:cs="Times New Roman"/>
          <w:sz w:val="24"/>
          <w:szCs w:val="24"/>
        </w:rPr>
        <w:t>,</w:t>
      </w:r>
      <w:r w:rsidRPr="0005532D">
        <w:rPr>
          <w:rFonts w:ascii="Times New Roman" w:hAnsi="Times New Roman" w:cs="Times New Roman"/>
          <w:sz w:val="24"/>
          <w:szCs w:val="24"/>
        </w:rPr>
        <w:t xml:space="preserve"> es decir, 1.298.738 personas-. Lo cierto es que el RLCPD sufre un subregistro evidente, si se le compara con las cifras del 2018 y, sobre todo, con la tendencia al alza de la población nacional.</w:t>
      </w:r>
    </w:p>
    <w:p w14:paraId="35099C70" w14:textId="77777777" w:rsidR="00C22EDC" w:rsidRDefault="00C22EDC" w:rsidP="00C22EDC">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w:t>
      </w:r>
      <w:r w:rsidRPr="0005532D">
        <w:rPr>
          <w:rFonts w:ascii="Times New Roman" w:hAnsi="Times New Roman" w:cs="Times New Roman"/>
          <w:sz w:val="24"/>
          <w:szCs w:val="24"/>
        </w:rPr>
        <w:t xml:space="preserve">Los datos dan cuenta que la mayoría de las PcD son adultos mayores de 60 años, seguidos de personas entre los 10 y 59 años, de 20 a 39 años, y de 0 a 19 años. Es decir, el 66% de las PcD es mayor de 49 años, mientras que este mismo grupo de edad solo representa un 28% de las Personas sin Discapacidad. </w:t>
      </w:r>
    </w:p>
    <w:p w14:paraId="4CC34995" w14:textId="77777777" w:rsidR="00C22EDC" w:rsidRDefault="00C22EDC" w:rsidP="00C22EDC">
      <w:pPr>
        <w:spacing w:line="360" w:lineRule="auto"/>
        <w:ind w:left="708"/>
        <w:jc w:val="both"/>
        <w:rPr>
          <w:rFonts w:ascii="Times New Roman" w:hAnsi="Times New Roman" w:cs="Times New Roman"/>
          <w:sz w:val="24"/>
          <w:szCs w:val="24"/>
        </w:rPr>
      </w:pPr>
      <w:r w:rsidRPr="0005532D">
        <w:rPr>
          <w:rFonts w:ascii="Times New Roman" w:hAnsi="Times New Roman" w:cs="Times New Roman"/>
          <w:sz w:val="24"/>
          <w:szCs w:val="24"/>
        </w:rPr>
        <w:t>La población de niños, niñas y adolescentes con discapacidad representa el 13% de las PcD, mientras que este grupo es la tercera parte de las P</w:t>
      </w:r>
      <w:r>
        <w:rPr>
          <w:rFonts w:ascii="Times New Roman" w:hAnsi="Times New Roman" w:cs="Times New Roman"/>
          <w:sz w:val="24"/>
          <w:szCs w:val="24"/>
        </w:rPr>
        <w:t>ersonas sin Discapacidad (</w:t>
      </w:r>
      <w:proofErr w:type="spellStart"/>
      <w:r>
        <w:rPr>
          <w:rFonts w:ascii="Times New Roman" w:hAnsi="Times New Roman" w:cs="Times New Roman"/>
          <w:sz w:val="24"/>
          <w:szCs w:val="24"/>
        </w:rPr>
        <w:t>PsD</w:t>
      </w:r>
      <w:proofErr w:type="spellEnd"/>
      <w:r>
        <w:rPr>
          <w:rFonts w:ascii="Times New Roman" w:hAnsi="Times New Roman" w:cs="Times New Roman"/>
          <w:sz w:val="24"/>
          <w:szCs w:val="24"/>
        </w:rPr>
        <w:t xml:space="preserve">) </w:t>
      </w:r>
      <w:r w:rsidRPr="0005532D">
        <w:rPr>
          <w:rFonts w:ascii="Times New Roman" w:hAnsi="Times New Roman" w:cs="Times New Roman"/>
          <w:sz w:val="24"/>
          <w:szCs w:val="24"/>
        </w:rPr>
        <w:t xml:space="preserve"> El grupo intermedio de 24 a 48 años representa el 22% de las PcD, mientras que en las P</w:t>
      </w:r>
      <w:r>
        <w:rPr>
          <w:rFonts w:ascii="Times New Roman" w:hAnsi="Times New Roman" w:cs="Times New Roman"/>
          <w:sz w:val="24"/>
          <w:szCs w:val="24"/>
        </w:rPr>
        <w:t>ersonas sin Discapacidad</w:t>
      </w:r>
      <w:r w:rsidRPr="0005532D">
        <w:rPr>
          <w:rFonts w:ascii="Times New Roman" w:hAnsi="Times New Roman" w:cs="Times New Roman"/>
          <w:sz w:val="24"/>
          <w:szCs w:val="24"/>
        </w:rPr>
        <w:t xml:space="preserve"> es el 40%. Lo que </w:t>
      </w:r>
      <w:r>
        <w:rPr>
          <w:rFonts w:ascii="Times New Roman" w:hAnsi="Times New Roman" w:cs="Times New Roman"/>
          <w:sz w:val="24"/>
          <w:szCs w:val="24"/>
        </w:rPr>
        <w:t xml:space="preserve">indica </w:t>
      </w:r>
      <w:r w:rsidRPr="0005532D">
        <w:rPr>
          <w:rFonts w:ascii="Times New Roman" w:hAnsi="Times New Roman" w:cs="Times New Roman"/>
          <w:sz w:val="24"/>
          <w:szCs w:val="24"/>
        </w:rPr>
        <w:t>una muy alta</w:t>
      </w:r>
      <w:r>
        <w:rPr>
          <w:rFonts w:ascii="Times New Roman" w:hAnsi="Times New Roman" w:cs="Times New Roman"/>
          <w:sz w:val="24"/>
          <w:szCs w:val="24"/>
        </w:rPr>
        <w:t xml:space="preserve"> convergencia</w:t>
      </w:r>
      <w:r w:rsidRPr="0005532D">
        <w:rPr>
          <w:rFonts w:ascii="Times New Roman" w:hAnsi="Times New Roman" w:cs="Times New Roman"/>
          <w:sz w:val="24"/>
          <w:szCs w:val="24"/>
        </w:rPr>
        <w:t xml:space="preserve"> entre discapacidad y la edad de las personas, y el origen de la discapacidad, en su mayor parte, asociada a enfermedades que han desarrollado las personas, así como por la edad avanzada, lo que explica que la mayoría de la PcD sean adultos mayores. </w:t>
      </w:r>
    </w:p>
    <w:p w14:paraId="7AEAAB3F" w14:textId="77777777" w:rsidR="00C22EDC" w:rsidRDefault="00C22EDC" w:rsidP="00C22EDC">
      <w:pPr>
        <w:spacing w:line="360" w:lineRule="auto"/>
        <w:ind w:left="708"/>
        <w:jc w:val="both"/>
        <w:rPr>
          <w:rFonts w:ascii="Times New Roman" w:hAnsi="Times New Roman" w:cs="Times New Roman"/>
          <w:sz w:val="24"/>
          <w:szCs w:val="24"/>
        </w:rPr>
      </w:pPr>
      <w:r w:rsidRPr="0005532D">
        <w:rPr>
          <w:rFonts w:ascii="Times New Roman" w:hAnsi="Times New Roman" w:cs="Times New Roman"/>
          <w:sz w:val="24"/>
          <w:szCs w:val="24"/>
        </w:rPr>
        <w:t xml:space="preserve">Por otra parte, se encontró que la mayoría de las PcD tienen bajos ingresos: viven en estratos socioeconómicos 1 y 2; por lo general no cuentan con educación o han </w:t>
      </w:r>
      <w:r w:rsidRPr="0005532D">
        <w:rPr>
          <w:rFonts w:ascii="Times New Roman" w:hAnsi="Times New Roman" w:cs="Times New Roman"/>
          <w:sz w:val="24"/>
          <w:szCs w:val="24"/>
        </w:rPr>
        <w:lastRenderedPageBreak/>
        <w:t xml:space="preserve">logrado finalizar estudios de preescolar o primaria, y no es frecuente encontrar a PcD con estudios superiores (pregrado y postgrado), solo unos pocos, y de estratos socioeconómicos más altos pueden acceder a una educación universitaria. La proporción de PcD que no </w:t>
      </w:r>
      <w:r>
        <w:rPr>
          <w:rFonts w:ascii="Times New Roman" w:hAnsi="Times New Roman" w:cs="Times New Roman"/>
          <w:sz w:val="24"/>
          <w:szCs w:val="24"/>
        </w:rPr>
        <w:t xml:space="preserve">está alfabetizada </w:t>
      </w:r>
      <w:r w:rsidRPr="0005532D">
        <w:rPr>
          <w:rFonts w:ascii="Times New Roman" w:hAnsi="Times New Roman" w:cs="Times New Roman"/>
          <w:sz w:val="24"/>
          <w:szCs w:val="24"/>
        </w:rPr>
        <w:t xml:space="preserve">es muy alta (17%), en especial si se compara con esta misma proporción para las </w:t>
      </w:r>
      <w:proofErr w:type="spellStart"/>
      <w:r w:rsidRPr="0005532D">
        <w:rPr>
          <w:rFonts w:ascii="Times New Roman" w:hAnsi="Times New Roman" w:cs="Times New Roman"/>
          <w:sz w:val="24"/>
          <w:szCs w:val="24"/>
        </w:rPr>
        <w:t>PsD</w:t>
      </w:r>
      <w:proofErr w:type="spellEnd"/>
      <w:r w:rsidRPr="0005532D">
        <w:rPr>
          <w:rFonts w:ascii="Times New Roman" w:hAnsi="Times New Roman" w:cs="Times New Roman"/>
          <w:sz w:val="24"/>
          <w:szCs w:val="24"/>
        </w:rPr>
        <w:t xml:space="preserve"> (5%). Los datos de nivel educativo muestran que una proporción muy grande de personas con discapacidad no han podido ejercer su derecho a la educación, y si lo han hecho, un poco menos de la mitad, solo ha logrado llegar hasta primaria (43%). Cerca de un 30% tiene nivel de secundaria básica y media y solo el 13% tienen educación superior, cifra significativamente menor que la que se observa en las personas sin discapacidad</w:t>
      </w:r>
      <w:r>
        <w:rPr>
          <w:rFonts w:ascii="Times New Roman" w:hAnsi="Times New Roman" w:cs="Times New Roman"/>
          <w:sz w:val="24"/>
          <w:szCs w:val="24"/>
        </w:rPr>
        <w:t>” (Cerón, 2022, pp. 3-4)</w:t>
      </w:r>
      <w:r w:rsidRPr="0005532D">
        <w:rPr>
          <w:rFonts w:ascii="Times New Roman" w:hAnsi="Times New Roman" w:cs="Times New Roman"/>
          <w:sz w:val="24"/>
          <w:szCs w:val="24"/>
        </w:rPr>
        <w:t xml:space="preserve">. </w:t>
      </w:r>
    </w:p>
    <w:p w14:paraId="17B89317" w14:textId="77777777" w:rsidR="00C22EDC" w:rsidRPr="0005532D" w:rsidRDefault="00C22EDC" w:rsidP="00C22E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frecuente encontrar a un gran porcentaje de PcD desempleadas, </w:t>
      </w:r>
      <w:r w:rsidRPr="0005532D">
        <w:rPr>
          <w:rFonts w:ascii="Times New Roman" w:hAnsi="Times New Roman" w:cs="Times New Roman"/>
          <w:sz w:val="24"/>
          <w:szCs w:val="24"/>
        </w:rPr>
        <w:t>ya que muchos los consideran incapaces para trabajar, o tienen una calificación de perdida laboral que los excluye del mercado laboral o se dedican a las tareas domésticas no remuneradas (Observatorio Nacional de Discapacidad, 2018). Por otra parte, en cuanto a los tipos de discapacidad, la mayoría de las personas presentan afectación en cuanto a su movilidad. Sin embargo, la cifra es muy variable por ciudad, y se agudiza de acuerdo al tipo de discapacidad (Observatorio Nacional de Discapacidad, 2018).</w:t>
      </w:r>
    </w:p>
    <w:p w14:paraId="1EEF8EEE" w14:textId="77777777" w:rsidR="00C22EDC" w:rsidRPr="006E6F74" w:rsidRDefault="00C22EDC" w:rsidP="00C22EDC">
      <w:pPr>
        <w:tabs>
          <w:tab w:val="left" w:pos="2730"/>
        </w:tabs>
        <w:spacing w:line="360" w:lineRule="auto"/>
        <w:jc w:val="both"/>
        <w:rPr>
          <w:rFonts w:ascii="Times New Roman" w:hAnsi="Times New Roman" w:cs="Times New Roman"/>
          <w:sz w:val="24"/>
          <w:szCs w:val="24"/>
        </w:rPr>
      </w:pPr>
      <w:r>
        <w:rPr>
          <w:rFonts w:ascii="Times New Roman" w:hAnsi="Times New Roman" w:cs="Times New Roman"/>
          <w:sz w:val="24"/>
          <w:szCs w:val="24"/>
        </w:rPr>
        <w:t>En Colombia, no</w:t>
      </w:r>
      <w:r w:rsidRPr="0005532D">
        <w:rPr>
          <w:rFonts w:ascii="Times New Roman" w:hAnsi="Times New Roman" w:cs="Times New Roman"/>
          <w:sz w:val="24"/>
          <w:szCs w:val="24"/>
        </w:rPr>
        <w:t xml:space="preserve"> existen políticas públicas o normas jurídicas orientadas a apoyar a las familias y el hogar de las P</w:t>
      </w:r>
      <w:r>
        <w:rPr>
          <w:rFonts w:ascii="Times New Roman" w:hAnsi="Times New Roman" w:cs="Times New Roman"/>
          <w:sz w:val="24"/>
          <w:szCs w:val="24"/>
        </w:rPr>
        <w:t>c</w:t>
      </w:r>
      <w:r w:rsidRPr="0005532D">
        <w:rPr>
          <w:rFonts w:ascii="Times New Roman" w:hAnsi="Times New Roman" w:cs="Times New Roman"/>
          <w:sz w:val="24"/>
          <w:szCs w:val="24"/>
        </w:rPr>
        <w:t xml:space="preserve">D, más allá de los criterios de priorización en el acceso a subsidios, como aquel correspondiente a la vivienda. Por las condiciones de vulnerabilidad que generalmente ocasionan las barreras a las fuentes de ingreso de las PCD y sus familias, esta población puede beneficiarse indirectamente de los subsidios entregados </w:t>
      </w:r>
      <w:r>
        <w:rPr>
          <w:rFonts w:ascii="Times New Roman" w:hAnsi="Times New Roman" w:cs="Times New Roman"/>
          <w:sz w:val="24"/>
          <w:szCs w:val="24"/>
        </w:rPr>
        <w:t xml:space="preserve">generados por las </w:t>
      </w:r>
      <w:r w:rsidRPr="0005532D">
        <w:rPr>
          <w:rFonts w:ascii="Times New Roman" w:hAnsi="Times New Roman" w:cs="Times New Roman"/>
          <w:sz w:val="24"/>
          <w:szCs w:val="24"/>
        </w:rPr>
        <w:t>condiciones de vulnerabilidad económica.</w:t>
      </w:r>
      <w:r>
        <w:rPr>
          <w:rFonts w:ascii="Times New Roman" w:hAnsi="Times New Roman" w:cs="Times New Roman"/>
          <w:sz w:val="24"/>
          <w:szCs w:val="24"/>
        </w:rPr>
        <w:t xml:space="preserve"> </w:t>
      </w:r>
      <w:r w:rsidRPr="0005532D">
        <w:rPr>
          <w:rFonts w:ascii="Times New Roman" w:hAnsi="Times New Roman" w:cs="Times New Roman"/>
          <w:sz w:val="24"/>
          <w:szCs w:val="24"/>
        </w:rPr>
        <w:t xml:space="preserve">Colombia cuenta con regulación normativa interna de la capacidad legal en los términos que establece la Convención por los Derechos de las Personas con Discapacidad. </w:t>
      </w:r>
      <w:r w:rsidRPr="006E6F74">
        <w:rPr>
          <w:rFonts w:ascii="Times New Roman" w:hAnsi="Times New Roman" w:cs="Times New Roman"/>
          <w:sz w:val="24"/>
          <w:szCs w:val="24"/>
        </w:rPr>
        <w:t>En concordancia con la CDPD, el Estado colombiano expidió la siguiente regulación alrededor de la toma de decisiones de las PCD.</w:t>
      </w:r>
    </w:p>
    <w:p w14:paraId="674B156D" w14:textId="77777777" w:rsidR="00C22EDC" w:rsidRPr="006E6F74" w:rsidRDefault="00C22EDC" w:rsidP="00C22EDC">
      <w:pPr>
        <w:pStyle w:val="ListParagraph"/>
        <w:numPr>
          <w:ilvl w:val="0"/>
          <w:numId w:val="1"/>
        </w:numPr>
        <w:tabs>
          <w:tab w:val="left" w:pos="2730"/>
        </w:tabs>
        <w:spacing w:line="360" w:lineRule="auto"/>
        <w:jc w:val="both"/>
        <w:rPr>
          <w:rFonts w:ascii="Times New Roman" w:hAnsi="Times New Roman" w:cs="Times New Roman"/>
          <w:sz w:val="24"/>
          <w:szCs w:val="24"/>
        </w:rPr>
      </w:pPr>
      <w:r w:rsidRPr="006E6F74">
        <w:rPr>
          <w:rFonts w:ascii="Times New Roman" w:hAnsi="Times New Roman" w:cs="Times New Roman"/>
          <w:sz w:val="24"/>
          <w:szCs w:val="24"/>
        </w:rPr>
        <w:t>Ley 1996 de 2019, por la cual se establece el régimen de capacidad legal para PCD, y en la que se establecen mecanismos para apoyar las decisiones: directivas anticipadas, acuerdos de apoyo y valoraciones de apoyo.</w:t>
      </w:r>
    </w:p>
    <w:p w14:paraId="4681F60D" w14:textId="77777777" w:rsidR="00C22EDC" w:rsidRPr="006E6F74" w:rsidRDefault="00C22EDC" w:rsidP="00C22EDC">
      <w:pPr>
        <w:pStyle w:val="ListParagraph"/>
        <w:numPr>
          <w:ilvl w:val="0"/>
          <w:numId w:val="1"/>
        </w:numPr>
        <w:tabs>
          <w:tab w:val="left" w:pos="2730"/>
        </w:tabs>
        <w:spacing w:line="360" w:lineRule="auto"/>
        <w:jc w:val="both"/>
        <w:rPr>
          <w:rFonts w:ascii="Times New Roman" w:hAnsi="Times New Roman" w:cs="Times New Roman"/>
          <w:sz w:val="24"/>
          <w:szCs w:val="24"/>
        </w:rPr>
      </w:pPr>
      <w:r w:rsidRPr="006E6F74">
        <w:rPr>
          <w:rFonts w:ascii="Times New Roman" w:hAnsi="Times New Roman" w:cs="Times New Roman"/>
          <w:sz w:val="24"/>
          <w:szCs w:val="24"/>
        </w:rPr>
        <w:lastRenderedPageBreak/>
        <w:t>Decreto 1429 de 2020, por medio del cual se reglamenta lo relativo al trámite de formalización de acuerdos de apoyo y directivas anticipadas ante centros de conciliación y notarías.</w:t>
      </w:r>
    </w:p>
    <w:p w14:paraId="02C92971" w14:textId="77777777" w:rsidR="00C22EDC" w:rsidRPr="006E6F74" w:rsidRDefault="00C22EDC" w:rsidP="00C22EDC">
      <w:pPr>
        <w:pStyle w:val="ListParagraph"/>
        <w:numPr>
          <w:ilvl w:val="0"/>
          <w:numId w:val="1"/>
        </w:numPr>
        <w:tabs>
          <w:tab w:val="left" w:pos="2730"/>
        </w:tabs>
        <w:spacing w:line="360" w:lineRule="auto"/>
        <w:jc w:val="both"/>
        <w:rPr>
          <w:rFonts w:ascii="Times New Roman" w:hAnsi="Times New Roman" w:cs="Times New Roman"/>
          <w:sz w:val="24"/>
          <w:szCs w:val="24"/>
        </w:rPr>
      </w:pPr>
      <w:r w:rsidRPr="006E6F74">
        <w:rPr>
          <w:rFonts w:ascii="Times New Roman" w:hAnsi="Times New Roman" w:cs="Times New Roman"/>
          <w:sz w:val="24"/>
          <w:szCs w:val="24"/>
        </w:rPr>
        <w:t>Decreto 487 de 2022, por el cual se reglamenta la prestación del servicio de valoración de apoyo.</w:t>
      </w:r>
    </w:p>
    <w:p w14:paraId="7A4789EC" w14:textId="77777777" w:rsidR="00C22EDC" w:rsidRPr="006E6F74" w:rsidRDefault="00C22EDC" w:rsidP="00C22EDC">
      <w:pPr>
        <w:pStyle w:val="ListParagraph"/>
        <w:numPr>
          <w:ilvl w:val="0"/>
          <w:numId w:val="1"/>
        </w:numPr>
        <w:tabs>
          <w:tab w:val="left" w:pos="2730"/>
        </w:tabs>
        <w:spacing w:line="360" w:lineRule="auto"/>
        <w:jc w:val="both"/>
        <w:rPr>
          <w:rFonts w:ascii="Times New Roman" w:hAnsi="Times New Roman" w:cs="Times New Roman"/>
          <w:sz w:val="24"/>
          <w:szCs w:val="24"/>
        </w:rPr>
      </w:pPr>
      <w:r w:rsidRPr="006E6F74">
        <w:rPr>
          <w:rFonts w:ascii="Times New Roman" w:hAnsi="Times New Roman" w:cs="Times New Roman"/>
          <w:sz w:val="24"/>
          <w:szCs w:val="24"/>
        </w:rPr>
        <w:t>Lineamientos y protocolo nacional de valoración de apoyos, expedido por el Departamento Administrativo de la Presidencia.</w:t>
      </w:r>
    </w:p>
    <w:p w14:paraId="25831395" w14:textId="0B4C2495" w:rsidR="00C22EDC" w:rsidRDefault="003E7C0F" w:rsidP="00C22EDC">
      <w:pPr>
        <w:tabs>
          <w:tab w:val="left" w:pos="27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Existen </w:t>
      </w:r>
      <w:r w:rsidR="00C22EDC" w:rsidRPr="006E6F74">
        <w:rPr>
          <w:rFonts w:ascii="Times New Roman" w:hAnsi="Times New Roman" w:cs="Times New Roman"/>
          <w:sz w:val="24"/>
          <w:szCs w:val="24"/>
        </w:rPr>
        <w:t xml:space="preserve">normativas dirigidas a garantizar el apoyo en las decisiones de las </w:t>
      </w:r>
      <w:proofErr w:type="spellStart"/>
      <w:r w:rsidR="00C22EDC" w:rsidRPr="006E6F74">
        <w:rPr>
          <w:rFonts w:ascii="Times New Roman" w:hAnsi="Times New Roman" w:cs="Times New Roman"/>
          <w:sz w:val="24"/>
          <w:szCs w:val="24"/>
        </w:rPr>
        <w:t>P</w:t>
      </w:r>
      <w:r>
        <w:rPr>
          <w:rFonts w:ascii="Times New Roman" w:hAnsi="Times New Roman" w:cs="Times New Roman"/>
          <w:sz w:val="24"/>
          <w:szCs w:val="24"/>
        </w:rPr>
        <w:t>c</w:t>
      </w:r>
      <w:r w:rsidR="00C22EDC" w:rsidRPr="006E6F74">
        <w:rPr>
          <w:rFonts w:ascii="Times New Roman" w:hAnsi="Times New Roman" w:cs="Times New Roman"/>
          <w:sz w:val="24"/>
          <w:szCs w:val="24"/>
        </w:rPr>
        <w:t>D</w:t>
      </w:r>
      <w:proofErr w:type="spellEnd"/>
      <w:r w:rsidR="00C22EDC" w:rsidRPr="006E6F74">
        <w:rPr>
          <w:rFonts w:ascii="Times New Roman" w:hAnsi="Times New Roman" w:cs="Times New Roman"/>
          <w:sz w:val="24"/>
          <w:szCs w:val="24"/>
        </w:rPr>
        <w:t xml:space="preserve">. Es de resaltar la suspensión de todos los trámites de interdicción, con los cuales se buscaba privar a las </w:t>
      </w:r>
      <w:proofErr w:type="spellStart"/>
      <w:r w:rsidR="00C22EDC" w:rsidRPr="006E6F74">
        <w:rPr>
          <w:rFonts w:ascii="Times New Roman" w:hAnsi="Times New Roman" w:cs="Times New Roman"/>
          <w:sz w:val="24"/>
          <w:szCs w:val="24"/>
        </w:rPr>
        <w:t>P</w:t>
      </w:r>
      <w:r>
        <w:rPr>
          <w:rFonts w:ascii="Times New Roman" w:hAnsi="Times New Roman" w:cs="Times New Roman"/>
          <w:sz w:val="24"/>
          <w:szCs w:val="24"/>
        </w:rPr>
        <w:t>c</w:t>
      </w:r>
      <w:r w:rsidR="00C22EDC" w:rsidRPr="006E6F74">
        <w:rPr>
          <w:rFonts w:ascii="Times New Roman" w:hAnsi="Times New Roman" w:cs="Times New Roman"/>
          <w:sz w:val="24"/>
          <w:szCs w:val="24"/>
        </w:rPr>
        <w:t>D</w:t>
      </w:r>
      <w:proofErr w:type="spellEnd"/>
      <w:r w:rsidR="00C22EDC" w:rsidRPr="006E6F74">
        <w:rPr>
          <w:rFonts w:ascii="Times New Roman" w:hAnsi="Times New Roman" w:cs="Times New Roman"/>
          <w:sz w:val="24"/>
          <w:szCs w:val="24"/>
        </w:rPr>
        <w:t xml:space="preserve"> del ejercicio de sus autonomías. En la actualidad, los procesos de interdicción </w:t>
      </w:r>
      <w:r>
        <w:rPr>
          <w:rFonts w:ascii="Times New Roman" w:hAnsi="Times New Roman" w:cs="Times New Roman"/>
          <w:sz w:val="24"/>
          <w:szCs w:val="24"/>
        </w:rPr>
        <w:t xml:space="preserve"> </w:t>
      </w:r>
      <w:r w:rsidR="00C22EDC" w:rsidRPr="006E6F74">
        <w:rPr>
          <w:rFonts w:ascii="Times New Roman" w:hAnsi="Times New Roman" w:cs="Times New Roman"/>
          <w:sz w:val="24"/>
          <w:szCs w:val="24"/>
        </w:rPr>
        <w:t>se</w:t>
      </w:r>
      <w:r>
        <w:rPr>
          <w:rFonts w:ascii="Times New Roman" w:hAnsi="Times New Roman" w:cs="Times New Roman"/>
          <w:sz w:val="24"/>
          <w:szCs w:val="24"/>
        </w:rPr>
        <w:t xml:space="preserve"> suspendieron </w:t>
      </w:r>
      <w:r w:rsidR="00C22EDC" w:rsidRPr="006E6F74">
        <w:rPr>
          <w:rFonts w:ascii="Times New Roman" w:hAnsi="Times New Roman" w:cs="Times New Roman"/>
          <w:sz w:val="24"/>
          <w:szCs w:val="24"/>
        </w:rPr>
        <w:t xml:space="preserve"> </w:t>
      </w:r>
      <w:r>
        <w:rPr>
          <w:rFonts w:ascii="Times New Roman" w:hAnsi="Times New Roman" w:cs="Times New Roman"/>
          <w:sz w:val="24"/>
          <w:szCs w:val="24"/>
        </w:rPr>
        <w:t xml:space="preserve">pasando al sistema de apoyos mediante la </w:t>
      </w:r>
      <w:r w:rsidR="00C22EDC" w:rsidRPr="006E6F74">
        <w:rPr>
          <w:rFonts w:ascii="Times New Roman" w:hAnsi="Times New Roman" w:cs="Times New Roman"/>
          <w:sz w:val="24"/>
          <w:szCs w:val="24"/>
        </w:rPr>
        <w:t>adjudicación judicial de apoyos.</w:t>
      </w:r>
    </w:p>
    <w:p w14:paraId="3092F473" w14:textId="77777777" w:rsidR="00C22EDC" w:rsidRPr="0005532D" w:rsidRDefault="00C22EDC" w:rsidP="00C22EDC">
      <w:pPr>
        <w:tabs>
          <w:tab w:val="left" w:pos="2730"/>
        </w:tabs>
        <w:spacing w:line="360" w:lineRule="auto"/>
        <w:jc w:val="both"/>
        <w:rPr>
          <w:rFonts w:ascii="Times New Roman" w:hAnsi="Times New Roman" w:cs="Times New Roman"/>
          <w:sz w:val="24"/>
          <w:szCs w:val="24"/>
        </w:rPr>
      </w:pPr>
      <w:r w:rsidRPr="0005532D">
        <w:rPr>
          <w:rFonts w:ascii="Times New Roman" w:hAnsi="Times New Roman" w:cs="Times New Roman"/>
          <w:sz w:val="24"/>
          <w:szCs w:val="24"/>
        </w:rPr>
        <w:t>En este sentido, se elimina la figura de la interdicción, por la restricción que implica al ejercicio de la autonomía, se establece la presunción de capacidad legal en los actos que llevan a cabo las personas con discapacidad y se crea un subsistema legal (SCL) para garantizar legalmente el ejercicio de la autonomía por medio de institutos jurídicos como los acuerdos de apoyo y las directivas anticipadas, así como las valoraciones de apoyo y sus funciones respecto a estos últimos institutos y respecto a la asignación judicial de apoyos.</w:t>
      </w:r>
    </w:p>
    <w:p w14:paraId="10B8B7E5" w14:textId="07DD5366" w:rsidR="00C22EDC" w:rsidRPr="0005532D" w:rsidRDefault="00C22EDC" w:rsidP="00C22EDC">
      <w:pPr>
        <w:tabs>
          <w:tab w:val="left" w:pos="2730"/>
        </w:tabs>
        <w:spacing w:line="360" w:lineRule="auto"/>
        <w:jc w:val="both"/>
        <w:rPr>
          <w:rFonts w:ascii="Times New Roman" w:hAnsi="Times New Roman" w:cs="Times New Roman"/>
          <w:sz w:val="24"/>
          <w:szCs w:val="24"/>
        </w:rPr>
      </w:pPr>
      <w:r w:rsidRPr="0005532D">
        <w:rPr>
          <w:rFonts w:ascii="Times New Roman" w:hAnsi="Times New Roman" w:cs="Times New Roman"/>
          <w:sz w:val="24"/>
          <w:szCs w:val="24"/>
        </w:rPr>
        <w:t xml:space="preserve">Así pues, con la creación de este subsistema, pese a barreras que han sido constantemente resaltadas por organizaciones de la sociedad civil -actitudinales relacionadas con la representación de las PcD como seres humanos desprovistos de voluntad y agencia, que llevan a su vez al establecimiento de valoraciones y acuerdos de apoyo que responden más a la percepción de los involucrados que a la voluntad de la PcD-, existe una infraestructura legal suficiente para garantizar uno de los aspectos que la Convención exigió a los </w:t>
      </w:r>
      <w:r w:rsidR="003E7C0F">
        <w:rPr>
          <w:rFonts w:ascii="Times New Roman" w:hAnsi="Times New Roman" w:cs="Times New Roman"/>
          <w:sz w:val="24"/>
          <w:szCs w:val="24"/>
        </w:rPr>
        <w:t>E</w:t>
      </w:r>
      <w:r w:rsidRPr="0005532D">
        <w:rPr>
          <w:rFonts w:ascii="Times New Roman" w:hAnsi="Times New Roman" w:cs="Times New Roman"/>
          <w:sz w:val="24"/>
          <w:szCs w:val="24"/>
        </w:rPr>
        <w:t xml:space="preserve">stados: que el principio de autonomía y no discriminación se exprese en el ejercicio de la capacidad legal. Esto, sin embargo, no implica que al subsistema de capacidad legal no le sean predicables eventuales modificaciones, siempre y cuando estas sean dirigidas a mejorar, y por tanto no reducir, el ejercicio de la autonomía a través de la capacidad legal. En ese sentido, percibimos con desconfianza cualquier intento de revivir el régimen de interdicción o desproveer a las PcD de capacidad legal en virtud de terceros, aun cuando estos ejerzan </w:t>
      </w:r>
      <w:r>
        <w:rPr>
          <w:rFonts w:ascii="Times New Roman" w:hAnsi="Times New Roman" w:cs="Times New Roman"/>
          <w:sz w:val="24"/>
          <w:szCs w:val="24"/>
        </w:rPr>
        <w:t>labores de apoyo</w:t>
      </w:r>
      <w:r w:rsidRPr="0005532D">
        <w:rPr>
          <w:rFonts w:ascii="Times New Roman" w:hAnsi="Times New Roman" w:cs="Times New Roman"/>
          <w:sz w:val="24"/>
          <w:szCs w:val="24"/>
        </w:rPr>
        <w:t>.</w:t>
      </w:r>
    </w:p>
    <w:p w14:paraId="1973970C" w14:textId="77777777" w:rsidR="00C22EDC" w:rsidRPr="0005532D" w:rsidRDefault="00C22EDC" w:rsidP="00C22EDC">
      <w:pPr>
        <w:tabs>
          <w:tab w:val="left" w:pos="2730"/>
        </w:tabs>
        <w:spacing w:line="360" w:lineRule="auto"/>
        <w:jc w:val="both"/>
        <w:rPr>
          <w:rFonts w:ascii="Times New Roman" w:hAnsi="Times New Roman" w:cs="Times New Roman"/>
          <w:sz w:val="24"/>
          <w:szCs w:val="24"/>
        </w:rPr>
      </w:pPr>
      <w:r w:rsidRPr="0005532D">
        <w:rPr>
          <w:rFonts w:ascii="Times New Roman" w:hAnsi="Times New Roman" w:cs="Times New Roman"/>
          <w:sz w:val="24"/>
          <w:szCs w:val="24"/>
        </w:rPr>
        <w:lastRenderedPageBreak/>
        <w:t>El panorama positivo que observamos en el subsistema legal de capacidad legal no se refleja en otras áreas de la vida de las PcD. Anotamos, entonces, que es preciso desarrollar una concepción material de los derechos con el fin de ponerlos en práctica. Esto, en relación con los derechos de las PcD se expresaría en una valoración diferenciada de la consagración de mecanismos legales -como el SCL- y las condiciones materiales de posibilidad para ejercer a plenitud la mentada capacidad legal.</w:t>
      </w:r>
      <w:r>
        <w:rPr>
          <w:rFonts w:ascii="Times New Roman" w:hAnsi="Times New Roman" w:cs="Times New Roman"/>
          <w:sz w:val="24"/>
          <w:szCs w:val="24"/>
        </w:rPr>
        <w:t xml:space="preserve"> </w:t>
      </w:r>
    </w:p>
    <w:p w14:paraId="02766C73" w14:textId="6DE481FD" w:rsidR="00C22EDC" w:rsidRPr="0005532D" w:rsidRDefault="00C22EDC" w:rsidP="00C22EDC">
      <w:pPr>
        <w:tabs>
          <w:tab w:val="left" w:pos="2730"/>
        </w:tabs>
        <w:spacing w:line="360" w:lineRule="auto"/>
        <w:jc w:val="both"/>
        <w:rPr>
          <w:rFonts w:ascii="Times New Roman" w:hAnsi="Times New Roman" w:cs="Times New Roman"/>
          <w:sz w:val="24"/>
          <w:szCs w:val="24"/>
        </w:rPr>
      </w:pPr>
      <w:r w:rsidRPr="0005532D">
        <w:rPr>
          <w:rFonts w:ascii="Times New Roman" w:hAnsi="Times New Roman" w:cs="Times New Roman"/>
          <w:sz w:val="24"/>
          <w:szCs w:val="24"/>
        </w:rPr>
        <w:t xml:space="preserve">La Convención establece que los Estados deben implementar medidas que garanticen que las PcD cuenten con autonomía en su vivir diario. El cumplimiento de esto requiere la previa caracterización del ejercicio cotidiano de la autonomía de las PcD. Observamos, según esto, dos problemas: I) la capacidad económica de satisfacción de necesidades básicas; y II) la capacidad general de tomar decisiones por </w:t>
      </w:r>
      <w:r w:rsidR="00530A46">
        <w:rPr>
          <w:rFonts w:ascii="Times New Roman" w:hAnsi="Times New Roman" w:cs="Times New Roman"/>
          <w:sz w:val="24"/>
          <w:szCs w:val="24"/>
        </w:rPr>
        <w:t xml:space="preserve">su </w:t>
      </w:r>
      <w:r w:rsidRPr="0005532D">
        <w:rPr>
          <w:rFonts w:ascii="Times New Roman" w:hAnsi="Times New Roman" w:cs="Times New Roman"/>
          <w:sz w:val="24"/>
          <w:szCs w:val="24"/>
        </w:rPr>
        <w:t>propia cuenta.</w:t>
      </w:r>
    </w:p>
    <w:p w14:paraId="142B1707" w14:textId="77777777" w:rsidR="00C22EDC" w:rsidRDefault="00C22EDC" w:rsidP="00C22EDC">
      <w:pPr>
        <w:tabs>
          <w:tab w:val="left" w:pos="2730"/>
        </w:tabs>
        <w:spacing w:line="360" w:lineRule="auto"/>
        <w:jc w:val="both"/>
        <w:rPr>
          <w:rFonts w:ascii="Times New Roman" w:hAnsi="Times New Roman" w:cs="Times New Roman"/>
          <w:sz w:val="24"/>
          <w:szCs w:val="24"/>
        </w:rPr>
      </w:pPr>
      <w:r w:rsidRPr="0005532D">
        <w:rPr>
          <w:rFonts w:ascii="Times New Roman" w:hAnsi="Times New Roman" w:cs="Times New Roman"/>
          <w:sz w:val="24"/>
          <w:szCs w:val="24"/>
        </w:rPr>
        <w:t>Por un lado, en nuestros contextos, la posesión de una capacidad mínima de consumo tiene relación directa con el ejercicio pleno de los derechos. Esto se expresa, no solo en la tenencia de objetos muebles e inmuebles a título de propiedad privada, sino también en la remuneración económica temporalmente definida que pueden proveer las rentas, dividendos, pensiones o sueldos. Las PcD enfrentan situaciones de vulnerabilidad económica diferencial respecto al común social. En general, se les dificulta en mucha mayor medida acceder a empleos formales por las representaciones negativas e inexactas que sobre esta población pesa. Exclusiones como esta pueden generar una reacción en cadena en materia de economía individual y familiar, si tenemos en cuenta que el empleo formal incide directamente en la posibilidad de obtener una pensión y acceder a servicios financieros.</w:t>
      </w:r>
    </w:p>
    <w:p w14:paraId="541F1134" w14:textId="77777777" w:rsidR="00C22EDC" w:rsidRPr="0005532D" w:rsidRDefault="00C22EDC" w:rsidP="00C22EDC">
      <w:pPr>
        <w:tabs>
          <w:tab w:val="left" w:pos="2730"/>
        </w:tabs>
        <w:spacing w:line="360" w:lineRule="auto"/>
        <w:jc w:val="both"/>
        <w:rPr>
          <w:rFonts w:ascii="Times New Roman" w:hAnsi="Times New Roman" w:cs="Times New Roman"/>
          <w:sz w:val="24"/>
          <w:szCs w:val="24"/>
        </w:rPr>
      </w:pPr>
      <w:r w:rsidRPr="0005532D">
        <w:rPr>
          <w:rFonts w:ascii="Times New Roman" w:hAnsi="Times New Roman" w:cs="Times New Roman"/>
          <w:sz w:val="24"/>
          <w:szCs w:val="24"/>
        </w:rPr>
        <w:t>Por otro lado, la capacidad de tomar decisiones por propia cuenta se relaciona con la existencia de concepciones minimizadoras de la voluntad de las PcD. Así, ante la presencia de concepciones como esta en la sociedad, el Estado y la familia, las PcD se encuentran desprovistas de agencia sobre su propia vida, pues se les considera incapaces de tomar decisiones en ámbitos trascendentales como: el proyecto de vida, la elección del lugar de vivienda, el acceso a educación formal, el acceso a un empleo</w:t>
      </w:r>
      <w:r>
        <w:rPr>
          <w:rFonts w:ascii="Times New Roman" w:hAnsi="Times New Roman" w:cs="Times New Roman"/>
          <w:sz w:val="24"/>
          <w:szCs w:val="24"/>
        </w:rPr>
        <w:t xml:space="preserve"> o</w:t>
      </w:r>
      <w:r w:rsidRPr="0005532D">
        <w:rPr>
          <w:rFonts w:ascii="Times New Roman" w:hAnsi="Times New Roman" w:cs="Times New Roman"/>
          <w:sz w:val="24"/>
          <w:szCs w:val="24"/>
        </w:rPr>
        <w:t xml:space="preserve"> la vida sexual y reproductiva.</w:t>
      </w:r>
    </w:p>
    <w:p w14:paraId="46E3E86F" w14:textId="77777777" w:rsidR="00C22EDC" w:rsidRPr="0005532D" w:rsidRDefault="00C22EDC" w:rsidP="00C22EDC">
      <w:pPr>
        <w:tabs>
          <w:tab w:val="left" w:pos="2730"/>
        </w:tabs>
        <w:spacing w:line="360" w:lineRule="auto"/>
        <w:jc w:val="both"/>
        <w:rPr>
          <w:rFonts w:ascii="Times New Roman" w:hAnsi="Times New Roman" w:cs="Times New Roman"/>
          <w:sz w:val="24"/>
          <w:szCs w:val="24"/>
        </w:rPr>
      </w:pPr>
      <w:r w:rsidRPr="0005532D">
        <w:rPr>
          <w:rFonts w:ascii="Times New Roman" w:hAnsi="Times New Roman" w:cs="Times New Roman"/>
          <w:sz w:val="24"/>
          <w:szCs w:val="24"/>
        </w:rPr>
        <w:t xml:space="preserve">El Estado colombiano, en consecuencia, debe elaborar estrategias para proveer a las PcD, al menos, de posibilidades de satisfacción a estas dos necesidades concretas: económicas y de decisión cotidiana. Encontramos, al respecto, que el SCL no es suficiente para cumplir con </w:t>
      </w:r>
      <w:r w:rsidRPr="0005532D">
        <w:rPr>
          <w:rFonts w:ascii="Times New Roman" w:hAnsi="Times New Roman" w:cs="Times New Roman"/>
          <w:sz w:val="24"/>
          <w:szCs w:val="24"/>
        </w:rPr>
        <w:lastRenderedPageBreak/>
        <w:t>ninguna de las dos necesidades, pues está diseñado para tener efectos en los actos formales por medio de los cuales un sujeto de derechos crea, modifica o extingue relaciones preminentemente jurídicas.</w:t>
      </w:r>
    </w:p>
    <w:p w14:paraId="3058BD6C" w14:textId="77777777" w:rsidR="00C22EDC" w:rsidRPr="0005532D" w:rsidRDefault="00C22EDC" w:rsidP="00C22EDC">
      <w:pPr>
        <w:tabs>
          <w:tab w:val="left" w:pos="2730"/>
        </w:tabs>
        <w:spacing w:line="360" w:lineRule="auto"/>
        <w:jc w:val="both"/>
        <w:rPr>
          <w:rFonts w:ascii="Times New Roman" w:hAnsi="Times New Roman" w:cs="Times New Roman"/>
          <w:sz w:val="24"/>
          <w:szCs w:val="24"/>
        </w:rPr>
      </w:pPr>
      <w:r w:rsidRPr="0005532D">
        <w:rPr>
          <w:rFonts w:ascii="Times New Roman" w:hAnsi="Times New Roman" w:cs="Times New Roman"/>
          <w:sz w:val="24"/>
          <w:szCs w:val="24"/>
        </w:rPr>
        <w:t>Una de las alternativas propuestas para modificar las condiciones económicas en las que las PcD desarrollan sus proyectos de vida es la entrega de remuneraciones periódicas a las personas que ya ejercen sobre ellas labores de cuidado. Esto parte de la conceptualización del cuidado como trabajo, por lo general, no pago en nuestras sociedades. Ello, a su vez, se relaciona directamente con la identificación de la mujer como la necesaria referencia de las labores de cuidado. Consideramos, sin embargo, que, aunque esta propuesta contiene un núcleo valorativo de redistribución justa, no está bien orientada hacia los objetivos de la Convención e, incluso, puede resultar contraria a la autonomía de las PcD.</w:t>
      </w:r>
    </w:p>
    <w:p w14:paraId="57679C91" w14:textId="77777777" w:rsidR="00C22EDC" w:rsidRPr="0005532D" w:rsidRDefault="00C22EDC" w:rsidP="00C22EDC">
      <w:pPr>
        <w:tabs>
          <w:tab w:val="left" w:pos="2730"/>
        </w:tabs>
        <w:spacing w:line="360" w:lineRule="auto"/>
        <w:jc w:val="both"/>
        <w:rPr>
          <w:rFonts w:ascii="Times New Roman" w:hAnsi="Times New Roman" w:cs="Times New Roman"/>
          <w:sz w:val="24"/>
          <w:szCs w:val="24"/>
        </w:rPr>
      </w:pPr>
      <w:r w:rsidRPr="0005532D">
        <w:rPr>
          <w:rFonts w:ascii="Times New Roman" w:hAnsi="Times New Roman" w:cs="Times New Roman"/>
          <w:sz w:val="24"/>
          <w:szCs w:val="24"/>
        </w:rPr>
        <w:t xml:space="preserve">Empecemos con los efectos sobre la segunda condición; es decir, sobre la capacidad de agencia sobre el propio proyecto de vida y las decisiones cotidianas. No nos es extraño el hecho de que buena parte de las personas que ejercen permanentemente el cuidado de PcD son, a su vez, familiares cercanos. Así pues, si el apoyo para las decisiones cotidianas es una persona con dedicación exclusiva, pero, además, con algún tipo de relación vertical de poder sobre la PcD, difícilmente la agencia sobre la propia vida se va a concretar si no es a través del tamiz de la voluntad de quien ejerce el cuidado. Las PcD deben contar con la suficiente autonomía para tomar decisiones que no resulten cómodas ante sus familiares. Ello no necesariamente implicaría creación de conflictos indeseables.  Decisiones relacionadas, por ejemplo, con la vida sexual y reproductiva se pueden tomar en ciertas condiciones que usualmente excluyen total o parcialmente la presencia de familiares cercanos. En consecuencia, la asignación exclusiva del rol de cuidado a una persona, que se garantizaría con una remuneración mensual, podría ser contraproducente para la autonomía de las PcD. </w:t>
      </w:r>
    </w:p>
    <w:p w14:paraId="3CEE59B1" w14:textId="77777777" w:rsidR="00C22EDC" w:rsidRPr="0005532D" w:rsidRDefault="00C22EDC" w:rsidP="00C22EDC">
      <w:pPr>
        <w:tabs>
          <w:tab w:val="left" w:pos="2730"/>
        </w:tabs>
        <w:spacing w:line="360" w:lineRule="auto"/>
        <w:jc w:val="both"/>
        <w:rPr>
          <w:rFonts w:ascii="Times New Roman" w:hAnsi="Times New Roman" w:cs="Times New Roman"/>
          <w:sz w:val="24"/>
          <w:szCs w:val="24"/>
        </w:rPr>
      </w:pPr>
      <w:r w:rsidRPr="0005532D">
        <w:rPr>
          <w:rFonts w:ascii="Times New Roman" w:hAnsi="Times New Roman" w:cs="Times New Roman"/>
          <w:sz w:val="24"/>
          <w:szCs w:val="24"/>
        </w:rPr>
        <w:t xml:space="preserve">Esto no excluye, claro está, que existan familiares exclusivamente dedicados al cuidado de PcD y que, por esta razón, requieran el reconocimiento de su trabajo no pago. Sin embargo, deben ser las PcD quienes tengan la posibilidad de decidir si prefieren que el cuidado recaiga sobre alguno de sus familiares cercanos -desde luego, con la aprobación de ambas personas- o sobre otra persona </w:t>
      </w:r>
      <w:r>
        <w:rPr>
          <w:rFonts w:ascii="Times New Roman" w:hAnsi="Times New Roman" w:cs="Times New Roman"/>
          <w:sz w:val="24"/>
          <w:szCs w:val="24"/>
        </w:rPr>
        <w:t xml:space="preserve">externa a la familia </w:t>
      </w:r>
      <w:r w:rsidRPr="0005532D">
        <w:rPr>
          <w:rFonts w:ascii="Times New Roman" w:hAnsi="Times New Roman" w:cs="Times New Roman"/>
          <w:sz w:val="24"/>
          <w:szCs w:val="24"/>
        </w:rPr>
        <w:t>con la cual pueda ejercer de diferente modo su autonomía.</w:t>
      </w:r>
    </w:p>
    <w:p w14:paraId="1EF3AE2C" w14:textId="77777777" w:rsidR="00C22EDC" w:rsidRDefault="00C22EDC" w:rsidP="00C22EDC">
      <w:pPr>
        <w:tabs>
          <w:tab w:val="left" w:pos="2730"/>
        </w:tabs>
        <w:spacing w:line="360" w:lineRule="auto"/>
        <w:jc w:val="both"/>
        <w:rPr>
          <w:rFonts w:ascii="Times New Roman" w:hAnsi="Times New Roman" w:cs="Times New Roman"/>
          <w:sz w:val="24"/>
          <w:szCs w:val="24"/>
        </w:rPr>
      </w:pPr>
      <w:r w:rsidRPr="0005532D">
        <w:rPr>
          <w:rFonts w:ascii="Times New Roman" w:hAnsi="Times New Roman" w:cs="Times New Roman"/>
          <w:sz w:val="24"/>
          <w:szCs w:val="24"/>
        </w:rPr>
        <w:lastRenderedPageBreak/>
        <w:t xml:space="preserve">Existe, además, un efecto indeseable de la reducción de las labores de cuidado a los familiares. No es un secreto que el cuidado, como se mencionaba anteriormente, es un rol socialmente feminizado. También, </w:t>
      </w:r>
      <w:r>
        <w:rPr>
          <w:rFonts w:ascii="Times New Roman" w:hAnsi="Times New Roman" w:cs="Times New Roman"/>
          <w:sz w:val="24"/>
          <w:szCs w:val="24"/>
        </w:rPr>
        <w:t xml:space="preserve">se entiende </w:t>
      </w:r>
      <w:r w:rsidRPr="0005532D">
        <w:rPr>
          <w:rFonts w:ascii="Times New Roman" w:hAnsi="Times New Roman" w:cs="Times New Roman"/>
          <w:sz w:val="24"/>
          <w:szCs w:val="24"/>
        </w:rPr>
        <w:t>que</w:t>
      </w:r>
      <w:r>
        <w:rPr>
          <w:rFonts w:ascii="Times New Roman" w:hAnsi="Times New Roman" w:cs="Times New Roman"/>
          <w:sz w:val="24"/>
          <w:szCs w:val="24"/>
        </w:rPr>
        <w:t>,</w:t>
      </w:r>
      <w:r w:rsidRPr="0005532D">
        <w:rPr>
          <w:rFonts w:ascii="Times New Roman" w:hAnsi="Times New Roman" w:cs="Times New Roman"/>
          <w:sz w:val="24"/>
          <w:szCs w:val="24"/>
        </w:rPr>
        <w:t xml:space="preserve"> en contextos como los de algunas PcD, las labores de cuidado pueden requerir una dedicación exclusiva. Así, reducir los apoyos cotidianos al cuidado, tal como generalmente es entendido, puede contribuir a perpetuar la feminización de las labores de cuidado e, incluso, puede truncar los proyectos de vida de las mujeres cuidadoras, en especial cuando sus labores les requieren dedicación permanente. </w:t>
      </w:r>
    </w:p>
    <w:p w14:paraId="056DA3C8" w14:textId="77777777" w:rsidR="00C22EDC" w:rsidRDefault="00C22EDC" w:rsidP="00C22EDC">
      <w:pPr>
        <w:tabs>
          <w:tab w:val="left" w:pos="2730"/>
        </w:tabs>
        <w:spacing w:line="360" w:lineRule="auto"/>
        <w:jc w:val="both"/>
        <w:rPr>
          <w:rFonts w:ascii="Times New Roman" w:hAnsi="Times New Roman" w:cs="Times New Roman"/>
          <w:sz w:val="24"/>
          <w:szCs w:val="24"/>
        </w:rPr>
      </w:pPr>
      <w:r>
        <w:rPr>
          <w:rFonts w:ascii="Times New Roman" w:hAnsi="Times New Roman" w:cs="Times New Roman"/>
          <w:sz w:val="24"/>
          <w:szCs w:val="24"/>
        </w:rPr>
        <w:t>Reducir y redistribuir el cuidado implica que la sociedad comprenda que las personas son sujetos interdependientes, es decir, que todas y todos necesitan de todas y todos para coexistir. En ese sentido, la solución no puede seguir recayendo sólo sobre la fuerza de trabajo de las mujeres, que circunstancialmente han tenido que asumir el cuidado de personas con discapacidad a cambio de un posible subsidio que no va a superar el salario mínimo, pero además las va a condenar a ver vetado su derecho a la libertad, independencia y autonomía; es por esto que se deben buscar alternativas reales que permitan el ejercicio de la libertad y la autonomía de estos dos sectores sociales, mujeres y personas con discapacidad.</w:t>
      </w:r>
    </w:p>
    <w:p w14:paraId="5A30E24E" w14:textId="77777777" w:rsidR="00C22EDC" w:rsidRDefault="00C22EDC" w:rsidP="00C22EDC">
      <w:pPr>
        <w:tabs>
          <w:tab w:val="left" w:pos="2730"/>
        </w:tabs>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05532D">
        <w:rPr>
          <w:rFonts w:ascii="Times New Roman" w:hAnsi="Times New Roman" w:cs="Times New Roman"/>
          <w:sz w:val="24"/>
          <w:szCs w:val="24"/>
        </w:rPr>
        <w:t>s necesario que se garanticen capacidades económicas mínimas para las PcD. Sin embargo, esto no se consigue necesariamente con la asignación de una remuneración periódica a las personas que ejercen el cuidado, pues esta política impactaría directamente</w:t>
      </w:r>
      <w:r>
        <w:rPr>
          <w:rFonts w:ascii="Times New Roman" w:hAnsi="Times New Roman" w:cs="Times New Roman"/>
          <w:sz w:val="24"/>
          <w:szCs w:val="24"/>
        </w:rPr>
        <w:t xml:space="preserve"> de forma negativa</w:t>
      </w:r>
      <w:r w:rsidRPr="0005532D">
        <w:rPr>
          <w:rFonts w:ascii="Times New Roman" w:hAnsi="Times New Roman" w:cs="Times New Roman"/>
          <w:sz w:val="24"/>
          <w:szCs w:val="24"/>
        </w:rPr>
        <w:t xml:space="preserve"> a las PcD. También, podría ser contraproducente por: la reducción de la autonomía en las decisiones cotidianas de las PcD, la perpetuación de la feminización de las labores de cuidado y la consecuente restricción que esto plantea a la libre elección de proyectos de vida de las y los cuidadores. En conclusión: para cumplir con el ideal de autonomía de la convención y las necesidades económicas y de decisión cotidiana de las PcD, es necesario desarrollar una política alternativa a la reducción de los apoyos al cuidado.</w:t>
      </w:r>
    </w:p>
    <w:p w14:paraId="2066C273" w14:textId="77777777" w:rsidR="00C22EDC" w:rsidRDefault="00C22EDC" w:rsidP="00C22EDC">
      <w:pPr>
        <w:tabs>
          <w:tab w:val="left" w:pos="2730"/>
        </w:tabs>
        <w:spacing w:line="360" w:lineRule="auto"/>
        <w:jc w:val="both"/>
        <w:rPr>
          <w:rFonts w:ascii="Times New Roman" w:hAnsi="Times New Roman" w:cs="Times New Roman"/>
          <w:sz w:val="24"/>
          <w:szCs w:val="24"/>
        </w:rPr>
      </w:pPr>
      <w:r>
        <w:rPr>
          <w:rFonts w:ascii="Times New Roman" w:hAnsi="Times New Roman" w:cs="Times New Roman"/>
          <w:sz w:val="24"/>
          <w:szCs w:val="24"/>
        </w:rPr>
        <w:t>Consecuentemente con este análisis,  nos resulta relevante tener en consideración las últimas cifras sobre la situación del cuidado y apoyo en Colombia</w:t>
      </w:r>
      <w:r w:rsidRPr="00B6707C">
        <w:rPr>
          <w:rFonts w:ascii="Times New Roman" w:hAnsi="Times New Roman" w:cs="Times New Roman"/>
          <w:sz w:val="24"/>
          <w:szCs w:val="24"/>
        </w:rPr>
        <w:t xml:space="preserve"> </w:t>
      </w:r>
      <w:r>
        <w:rPr>
          <w:rFonts w:ascii="Times New Roman" w:hAnsi="Times New Roman" w:cs="Times New Roman"/>
          <w:sz w:val="24"/>
          <w:szCs w:val="24"/>
        </w:rPr>
        <w:t xml:space="preserve">arrojadas por el </w:t>
      </w:r>
      <w:r w:rsidRPr="00B6707C">
        <w:rPr>
          <w:rFonts w:ascii="Times New Roman" w:hAnsi="Times New Roman" w:cs="Times New Roman"/>
          <w:sz w:val="24"/>
          <w:szCs w:val="24"/>
        </w:rPr>
        <w:t xml:space="preserve"> D</w:t>
      </w:r>
      <w:r>
        <w:rPr>
          <w:rFonts w:ascii="Times New Roman" w:hAnsi="Times New Roman" w:cs="Times New Roman"/>
          <w:sz w:val="24"/>
          <w:szCs w:val="24"/>
        </w:rPr>
        <w:t>NP</w:t>
      </w:r>
      <w:r w:rsidRPr="00B6707C">
        <w:rPr>
          <w:rFonts w:ascii="Times New Roman" w:hAnsi="Times New Roman" w:cs="Times New Roman"/>
          <w:sz w:val="24"/>
          <w:szCs w:val="24"/>
        </w:rPr>
        <w:t xml:space="preserve"> (20</w:t>
      </w:r>
      <w:r>
        <w:rPr>
          <w:rFonts w:ascii="Times New Roman" w:hAnsi="Times New Roman" w:cs="Times New Roman"/>
          <w:sz w:val="24"/>
          <w:szCs w:val="24"/>
        </w:rPr>
        <w:t>19</w:t>
      </w:r>
      <w:r w:rsidRPr="00B6707C">
        <w:rPr>
          <w:rFonts w:ascii="Times New Roman" w:hAnsi="Times New Roman" w:cs="Times New Roman"/>
          <w:sz w:val="24"/>
          <w:szCs w:val="24"/>
        </w:rPr>
        <w:t>)</w:t>
      </w:r>
      <w:r>
        <w:rPr>
          <w:rFonts w:ascii="Times New Roman" w:hAnsi="Times New Roman" w:cs="Times New Roman"/>
          <w:sz w:val="24"/>
          <w:szCs w:val="24"/>
        </w:rPr>
        <w:t>, pero antes haremos una descripción del panorama en términos conceptuales:</w:t>
      </w:r>
    </w:p>
    <w:p w14:paraId="213E6FC6" w14:textId="77777777" w:rsidR="00C22EDC" w:rsidRDefault="00C22EDC" w:rsidP="00C22EDC">
      <w:pPr>
        <w:tabs>
          <w:tab w:val="left" w:pos="2730"/>
        </w:tabs>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B6707C">
        <w:rPr>
          <w:rFonts w:ascii="Times New Roman" w:hAnsi="Times New Roman" w:cs="Times New Roman"/>
          <w:sz w:val="24"/>
          <w:szCs w:val="24"/>
        </w:rPr>
        <w:t xml:space="preserve">n </w:t>
      </w:r>
      <w:r>
        <w:rPr>
          <w:rFonts w:ascii="Times New Roman" w:hAnsi="Times New Roman" w:cs="Times New Roman"/>
          <w:sz w:val="24"/>
          <w:szCs w:val="24"/>
        </w:rPr>
        <w:t>el país</w:t>
      </w:r>
      <w:r w:rsidRPr="00B6707C">
        <w:rPr>
          <w:rFonts w:ascii="Times New Roman" w:hAnsi="Times New Roman" w:cs="Times New Roman"/>
          <w:sz w:val="24"/>
          <w:szCs w:val="24"/>
        </w:rPr>
        <w:t xml:space="preserve"> de manera general, los cuidados que se realizan al interior de los hogares pueden ser de tres tipos, según las actividades que comprenden y las relaciones interpersonales que se establecen entre quienes los proveen y quienes los reciben: </w:t>
      </w:r>
      <w:r w:rsidRPr="00B6707C">
        <w:rPr>
          <w:rFonts w:ascii="Times New Roman" w:hAnsi="Times New Roman" w:cs="Times New Roman"/>
          <w:i/>
          <w:iCs/>
          <w:sz w:val="24"/>
          <w:szCs w:val="24"/>
        </w:rPr>
        <w:t>directos, indirectos y pasivos</w:t>
      </w:r>
      <w:r w:rsidRPr="00B6707C">
        <w:rPr>
          <w:rFonts w:ascii="Times New Roman" w:hAnsi="Times New Roman" w:cs="Times New Roman"/>
          <w:sz w:val="24"/>
          <w:szCs w:val="24"/>
        </w:rPr>
        <w:t xml:space="preserve">. </w:t>
      </w:r>
      <w:r w:rsidRPr="00B6707C">
        <w:rPr>
          <w:rFonts w:ascii="Times New Roman" w:hAnsi="Times New Roman" w:cs="Times New Roman"/>
          <w:sz w:val="24"/>
          <w:szCs w:val="24"/>
        </w:rPr>
        <w:lastRenderedPageBreak/>
        <w:t>Los cuidados directos involucran relaciones interpersonales, mientras que los indirectos conllevan actividades que no requieren de la interacción entre las personas que los proveen y quienes se benefician de ellos.</w:t>
      </w:r>
      <w:r>
        <w:rPr>
          <w:rFonts w:ascii="Times New Roman" w:hAnsi="Times New Roman" w:cs="Times New Roman"/>
          <w:sz w:val="24"/>
          <w:szCs w:val="24"/>
        </w:rPr>
        <w:t xml:space="preserve"> L</w:t>
      </w:r>
      <w:r w:rsidRPr="00B6707C">
        <w:rPr>
          <w:rFonts w:ascii="Times New Roman" w:hAnsi="Times New Roman" w:cs="Times New Roman"/>
          <w:sz w:val="24"/>
          <w:szCs w:val="24"/>
        </w:rPr>
        <w:t xml:space="preserve">os cuidados pasivos, implican la vigilancia o </w:t>
      </w:r>
      <w:r>
        <w:rPr>
          <w:rFonts w:ascii="Times New Roman" w:hAnsi="Times New Roman" w:cs="Times New Roman"/>
          <w:sz w:val="24"/>
          <w:szCs w:val="24"/>
        </w:rPr>
        <w:t xml:space="preserve">diligencia frente a </w:t>
      </w:r>
      <w:r w:rsidRPr="00B6707C">
        <w:rPr>
          <w:rFonts w:ascii="Times New Roman" w:hAnsi="Times New Roman" w:cs="Times New Roman"/>
          <w:sz w:val="24"/>
          <w:szCs w:val="24"/>
        </w:rPr>
        <w:t xml:space="preserve">personas que requieren de atención, pero tienen la particularidad de </w:t>
      </w:r>
      <w:r>
        <w:rPr>
          <w:rFonts w:ascii="Times New Roman" w:hAnsi="Times New Roman" w:cs="Times New Roman"/>
          <w:sz w:val="24"/>
          <w:szCs w:val="24"/>
        </w:rPr>
        <w:t>poderse</w:t>
      </w:r>
      <w:r w:rsidRPr="00B6707C">
        <w:rPr>
          <w:rFonts w:ascii="Times New Roman" w:hAnsi="Times New Roman" w:cs="Times New Roman"/>
          <w:sz w:val="24"/>
          <w:szCs w:val="24"/>
        </w:rPr>
        <w:t xml:space="preserve"> llevar a cabo en forma simultánea mientras se realizan otras actividades, sean estas de cuidado indirecto, o de cualquier otra índole, inclusive de descanso u ocio. </w:t>
      </w:r>
    </w:p>
    <w:p w14:paraId="7352C908" w14:textId="77777777" w:rsidR="00C22EDC" w:rsidRPr="00B6707C" w:rsidRDefault="00C22EDC" w:rsidP="00C22EDC">
      <w:pPr>
        <w:tabs>
          <w:tab w:val="left" w:pos="2730"/>
        </w:tabs>
        <w:spacing w:line="360" w:lineRule="auto"/>
        <w:jc w:val="both"/>
        <w:rPr>
          <w:rFonts w:ascii="Times New Roman" w:hAnsi="Times New Roman" w:cs="Times New Roman"/>
          <w:sz w:val="24"/>
          <w:szCs w:val="24"/>
        </w:rPr>
      </w:pPr>
      <w:r>
        <w:rPr>
          <w:rFonts w:ascii="Times New Roman" w:hAnsi="Times New Roman" w:cs="Times New Roman"/>
          <w:sz w:val="24"/>
          <w:szCs w:val="24"/>
        </w:rPr>
        <w:t>Según Reyes y Bustamante (2020), l</w:t>
      </w:r>
      <w:r w:rsidRPr="00B6707C">
        <w:rPr>
          <w:rFonts w:ascii="Times New Roman" w:hAnsi="Times New Roman" w:cs="Times New Roman"/>
          <w:sz w:val="24"/>
          <w:szCs w:val="24"/>
        </w:rPr>
        <w:t>as actividades de cuidados directos requieren la dedicación de tiempo exclusivo y con cierto grado de continuidad que otras tareas de cuidado indirecto no demandan</w:t>
      </w:r>
      <w:r>
        <w:rPr>
          <w:rFonts w:ascii="Times New Roman" w:hAnsi="Times New Roman" w:cs="Times New Roman"/>
          <w:sz w:val="24"/>
          <w:szCs w:val="24"/>
        </w:rPr>
        <w:t>,</w:t>
      </w:r>
      <w:r w:rsidRPr="00B6707C">
        <w:rPr>
          <w:rFonts w:ascii="Times New Roman" w:hAnsi="Times New Roman" w:cs="Times New Roman"/>
          <w:sz w:val="24"/>
          <w:szCs w:val="24"/>
        </w:rPr>
        <w:t xml:space="preserve"> </w:t>
      </w:r>
      <w:r>
        <w:rPr>
          <w:rFonts w:ascii="Times New Roman" w:hAnsi="Times New Roman" w:cs="Times New Roman"/>
          <w:sz w:val="24"/>
          <w:szCs w:val="24"/>
        </w:rPr>
        <w:t xml:space="preserve"> d</w:t>
      </w:r>
      <w:r w:rsidRPr="00B6707C">
        <w:rPr>
          <w:rFonts w:ascii="Times New Roman" w:hAnsi="Times New Roman" w:cs="Times New Roman"/>
          <w:sz w:val="24"/>
          <w:szCs w:val="24"/>
        </w:rPr>
        <w:t>e forma tal que quienes las realizan tienen comprometido su tiempo en mucha mayor medida con las actividades de cuidados, tanto en cantidad, como en horarios específicos y, por ende, menos posibilidades de participación en otras esferas de vida. En Colombia, las actividades de cuidados directos e indirectos constituyen el “Trabajo doméstico y de cuidado no remunerado” (TDCnR) que integra la Cuenta Satélite de Economía del Cuidado (CSEC)</w:t>
      </w:r>
      <w:r>
        <w:rPr>
          <w:rFonts w:ascii="Times New Roman" w:hAnsi="Times New Roman" w:cs="Times New Roman"/>
          <w:sz w:val="24"/>
          <w:szCs w:val="24"/>
        </w:rPr>
        <w:t>.</w:t>
      </w:r>
      <w:r w:rsidRPr="00B6707C">
        <w:rPr>
          <w:rFonts w:ascii="Times New Roman" w:hAnsi="Times New Roman" w:cs="Times New Roman"/>
          <w:sz w:val="24"/>
          <w:szCs w:val="24"/>
        </w:rPr>
        <w:t xml:space="preserve"> </w:t>
      </w:r>
      <w:r>
        <w:rPr>
          <w:rFonts w:ascii="Times New Roman" w:hAnsi="Times New Roman" w:cs="Times New Roman"/>
          <w:sz w:val="24"/>
          <w:szCs w:val="24"/>
        </w:rPr>
        <w:t>E</w:t>
      </w:r>
      <w:r w:rsidRPr="00B6707C">
        <w:rPr>
          <w:rFonts w:ascii="Times New Roman" w:hAnsi="Times New Roman" w:cs="Times New Roman"/>
          <w:sz w:val="24"/>
          <w:szCs w:val="24"/>
        </w:rPr>
        <w:t>ste trabajo se compone de seis funcionalidades:</w:t>
      </w:r>
    </w:p>
    <w:p w14:paraId="49F72A65" w14:textId="77777777" w:rsidR="00C22EDC" w:rsidRPr="00B6707C" w:rsidRDefault="00C22EDC" w:rsidP="00C22EDC">
      <w:pPr>
        <w:numPr>
          <w:ilvl w:val="0"/>
          <w:numId w:val="5"/>
        </w:numPr>
        <w:tabs>
          <w:tab w:val="left" w:pos="2730"/>
        </w:tabs>
        <w:spacing w:line="360" w:lineRule="auto"/>
        <w:jc w:val="both"/>
        <w:rPr>
          <w:rFonts w:ascii="Times New Roman" w:hAnsi="Times New Roman" w:cs="Times New Roman"/>
          <w:sz w:val="24"/>
          <w:szCs w:val="24"/>
        </w:rPr>
      </w:pPr>
      <w:r w:rsidRPr="00B6707C">
        <w:rPr>
          <w:rFonts w:ascii="Times New Roman" w:hAnsi="Times New Roman" w:cs="Times New Roman"/>
          <w:sz w:val="24"/>
          <w:szCs w:val="24"/>
        </w:rPr>
        <w:t>Suministro de alimentos</w:t>
      </w:r>
    </w:p>
    <w:p w14:paraId="2A225383" w14:textId="77777777" w:rsidR="00C22EDC" w:rsidRPr="00B6707C" w:rsidRDefault="00C22EDC" w:rsidP="00C22EDC">
      <w:pPr>
        <w:numPr>
          <w:ilvl w:val="0"/>
          <w:numId w:val="5"/>
        </w:numPr>
        <w:tabs>
          <w:tab w:val="left" w:pos="2730"/>
        </w:tabs>
        <w:spacing w:line="360" w:lineRule="auto"/>
        <w:jc w:val="both"/>
        <w:rPr>
          <w:rFonts w:ascii="Times New Roman" w:hAnsi="Times New Roman" w:cs="Times New Roman"/>
          <w:sz w:val="24"/>
          <w:szCs w:val="24"/>
        </w:rPr>
      </w:pPr>
      <w:r w:rsidRPr="00B6707C">
        <w:rPr>
          <w:rFonts w:ascii="Times New Roman" w:hAnsi="Times New Roman" w:cs="Times New Roman"/>
          <w:sz w:val="24"/>
          <w:szCs w:val="24"/>
        </w:rPr>
        <w:t>Mantenimiento de vestuario.</w:t>
      </w:r>
    </w:p>
    <w:p w14:paraId="01EA94DF" w14:textId="77777777" w:rsidR="00C22EDC" w:rsidRPr="00B6707C" w:rsidRDefault="00C22EDC" w:rsidP="00C22EDC">
      <w:pPr>
        <w:numPr>
          <w:ilvl w:val="0"/>
          <w:numId w:val="5"/>
        </w:numPr>
        <w:tabs>
          <w:tab w:val="left" w:pos="2730"/>
        </w:tabs>
        <w:spacing w:line="360" w:lineRule="auto"/>
        <w:jc w:val="both"/>
        <w:rPr>
          <w:rFonts w:ascii="Times New Roman" w:hAnsi="Times New Roman" w:cs="Times New Roman"/>
          <w:sz w:val="24"/>
          <w:szCs w:val="24"/>
        </w:rPr>
      </w:pPr>
      <w:r w:rsidRPr="00B6707C">
        <w:rPr>
          <w:rFonts w:ascii="Times New Roman" w:hAnsi="Times New Roman" w:cs="Times New Roman"/>
          <w:sz w:val="24"/>
          <w:szCs w:val="24"/>
        </w:rPr>
        <w:t>Limpieza y mantenimiento del hogar.</w:t>
      </w:r>
    </w:p>
    <w:p w14:paraId="1F5DDF0B" w14:textId="77777777" w:rsidR="00C22EDC" w:rsidRPr="00B6707C" w:rsidRDefault="00C22EDC" w:rsidP="00C22EDC">
      <w:pPr>
        <w:numPr>
          <w:ilvl w:val="0"/>
          <w:numId w:val="5"/>
        </w:numPr>
        <w:tabs>
          <w:tab w:val="left" w:pos="2730"/>
        </w:tabs>
        <w:spacing w:line="360" w:lineRule="auto"/>
        <w:jc w:val="both"/>
        <w:rPr>
          <w:rFonts w:ascii="Times New Roman" w:hAnsi="Times New Roman" w:cs="Times New Roman"/>
          <w:sz w:val="24"/>
          <w:szCs w:val="24"/>
        </w:rPr>
      </w:pPr>
      <w:r w:rsidRPr="00B6707C">
        <w:rPr>
          <w:rFonts w:ascii="Times New Roman" w:hAnsi="Times New Roman" w:cs="Times New Roman"/>
          <w:sz w:val="24"/>
          <w:szCs w:val="24"/>
        </w:rPr>
        <w:t>Cuidado y apoyo de personas.</w:t>
      </w:r>
    </w:p>
    <w:p w14:paraId="6F426D08" w14:textId="77777777" w:rsidR="00C22EDC" w:rsidRPr="00B6707C" w:rsidRDefault="00C22EDC" w:rsidP="00C22EDC">
      <w:pPr>
        <w:numPr>
          <w:ilvl w:val="0"/>
          <w:numId w:val="5"/>
        </w:numPr>
        <w:tabs>
          <w:tab w:val="left" w:pos="2730"/>
        </w:tabs>
        <w:spacing w:line="360" w:lineRule="auto"/>
        <w:jc w:val="both"/>
        <w:rPr>
          <w:rFonts w:ascii="Times New Roman" w:hAnsi="Times New Roman" w:cs="Times New Roman"/>
          <w:sz w:val="24"/>
          <w:szCs w:val="24"/>
        </w:rPr>
      </w:pPr>
      <w:r w:rsidRPr="00B6707C">
        <w:rPr>
          <w:rFonts w:ascii="Times New Roman" w:hAnsi="Times New Roman" w:cs="Times New Roman"/>
          <w:sz w:val="24"/>
          <w:szCs w:val="24"/>
        </w:rPr>
        <w:t>Compras y administración del hogar.</w:t>
      </w:r>
    </w:p>
    <w:p w14:paraId="625DBA0D" w14:textId="77777777" w:rsidR="00C22EDC" w:rsidRPr="00B6707C" w:rsidRDefault="00C22EDC" w:rsidP="00C22EDC">
      <w:pPr>
        <w:numPr>
          <w:ilvl w:val="0"/>
          <w:numId w:val="5"/>
        </w:numPr>
        <w:tabs>
          <w:tab w:val="left" w:pos="2730"/>
        </w:tabs>
        <w:spacing w:line="360" w:lineRule="auto"/>
        <w:jc w:val="both"/>
        <w:rPr>
          <w:rFonts w:ascii="Times New Roman" w:hAnsi="Times New Roman" w:cs="Times New Roman"/>
          <w:sz w:val="24"/>
          <w:szCs w:val="24"/>
        </w:rPr>
      </w:pPr>
      <w:r w:rsidRPr="00B6707C">
        <w:rPr>
          <w:rFonts w:ascii="Times New Roman" w:hAnsi="Times New Roman" w:cs="Times New Roman"/>
          <w:sz w:val="24"/>
          <w:szCs w:val="24"/>
        </w:rPr>
        <w:t>Voluntariado.</w:t>
      </w:r>
    </w:p>
    <w:p w14:paraId="40B75F29" w14:textId="77777777" w:rsidR="00C22EDC" w:rsidRPr="00B6707C" w:rsidRDefault="00C22EDC" w:rsidP="00C22EDC">
      <w:pPr>
        <w:tabs>
          <w:tab w:val="left" w:pos="2730"/>
        </w:tabs>
        <w:spacing w:line="360" w:lineRule="auto"/>
        <w:jc w:val="both"/>
        <w:rPr>
          <w:rFonts w:ascii="Times New Roman" w:hAnsi="Times New Roman" w:cs="Times New Roman"/>
          <w:sz w:val="24"/>
          <w:szCs w:val="24"/>
        </w:rPr>
      </w:pPr>
      <w:r w:rsidRPr="00B6707C">
        <w:rPr>
          <w:rFonts w:ascii="Times New Roman" w:hAnsi="Times New Roman" w:cs="Times New Roman"/>
          <w:sz w:val="24"/>
          <w:szCs w:val="24"/>
        </w:rPr>
        <w:t>Todas las funcionalidades excepto “Cuidados y apoyo de personas” y “voluntariado” se relacionan con actividades de los hogares que se realizan en beneficio de todos los integrantes del hogar.</w:t>
      </w:r>
      <w:r>
        <w:rPr>
          <w:rFonts w:ascii="Times New Roman" w:hAnsi="Times New Roman" w:cs="Times New Roman"/>
          <w:sz w:val="24"/>
          <w:szCs w:val="24"/>
        </w:rPr>
        <w:t xml:space="preserve"> En el caso de </w:t>
      </w:r>
      <w:r w:rsidRPr="00B6707C">
        <w:rPr>
          <w:rFonts w:ascii="Times New Roman" w:hAnsi="Times New Roman" w:cs="Times New Roman"/>
          <w:sz w:val="24"/>
          <w:szCs w:val="24"/>
        </w:rPr>
        <w:t xml:space="preserve"> </w:t>
      </w:r>
      <w:r>
        <w:rPr>
          <w:rFonts w:ascii="Times New Roman" w:hAnsi="Times New Roman" w:cs="Times New Roman"/>
          <w:sz w:val="24"/>
          <w:szCs w:val="24"/>
        </w:rPr>
        <w:t>l</w:t>
      </w:r>
      <w:r w:rsidRPr="00B6707C">
        <w:rPr>
          <w:rFonts w:ascii="Times New Roman" w:hAnsi="Times New Roman" w:cs="Times New Roman"/>
          <w:sz w:val="24"/>
          <w:szCs w:val="24"/>
        </w:rPr>
        <w:t>a funcionalidad de Voluntariado</w:t>
      </w:r>
      <w:r>
        <w:rPr>
          <w:rFonts w:ascii="Times New Roman" w:hAnsi="Times New Roman" w:cs="Times New Roman"/>
          <w:sz w:val="24"/>
          <w:szCs w:val="24"/>
        </w:rPr>
        <w:t>,</w:t>
      </w:r>
      <w:r w:rsidRPr="00B6707C">
        <w:rPr>
          <w:rFonts w:ascii="Times New Roman" w:hAnsi="Times New Roman" w:cs="Times New Roman"/>
          <w:sz w:val="24"/>
          <w:szCs w:val="24"/>
        </w:rPr>
        <w:t xml:space="preserve"> se refiere a actividades dirigidas hacia otros hogares y hacia la comunidad. A estas cinco funcionalidades, excepto “Cuidados y apoyo de personas”, se les denomina “Cuidados indirectos” en virtud que se refieren a las condiciones necesarias para que ocurra la actividad de cuidados y apoyo (con la salvedad de algunas modalidades de voluntariado).</w:t>
      </w:r>
    </w:p>
    <w:p w14:paraId="55CA8AF3" w14:textId="77777777" w:rsidR="00C22EDC" w:rsidRPr="00B6707C" w:rsidRDefault="00C22EDC" w:rsidP="00C22EDC">
      <w:pPr>
        <w:tabs>
          <w:tab w:val="left" w:pos="2730"/>
        </w:tabs>
        <w:spacing w:line="360" w:lineRule="auto"/>
        <w:jc w:val="both"/>
        <w:rPr>
          <w:rFonts w:ascii="Times New Roman" w:hAnsi="Times New Roman" w:cs="Times New Roman"/>
          <w:sz w:val="24"/>
          <w:szCs w:val="24"/>
        </w:rPr>
      </w:pPr>
      <w:r w:rsidRPr="00B6707C">
        <w:rPr>
          <w:rFonts w:ascii="Times New Roman" w:hAnsi="Times New Roman" w:cs="Times New Roman"/>
          <w:sz w:val="24"/>
          <w:szCs w:val="24"/>
        </w:rPr>
        <w:lastRenderedPageBreak/>
        <w:t xml:space="preserve">La funcionalidad de Cuidados y Apoyo de las personas forma parte de los “Cuidados directos”, son actividades en las que existe una relación interpersonal entre la persona que proporciona los cuidados y apoyo (las personas cuidadoras), y la persona que los recibe dentro del hogar. </w:t>
      </w:r>
      <w:r>
        <w:rPr>
          <w:rFonts w:ascii="Times New Roman" w:hAnsi="Times New Roman" w:cs="Times New Roman"/>
          <w:sz w:val="24"/>
          <w:szCs w:val="24"/>
        </w:rPr>
        <w:t>Ahora, l</w:t>
      </w:r>
      <w:r w:rsidRPr="00B6707C">
        <w:rPr>
          <w:rFonts w:ascii="Times New Roman" w:hAnsi="Times New Roman" w:cs="Times New Roman"/>
          <w:sz w:val="24"/>
          <w:szCs w:val="24"/>
        </w:rPr>
        <w:t>as cinco funcionalidades de cuidados indirectos comprenden actividades específicas tales como: la preparación de alimentos y llevarle la comida a personas (Suministro de alimentos), lavar y planchar ropa, reparar ropa, manteles, cobijas, calzado, llevar o recoger ropa o calzado (Mantenimiento de vestuario), la limpieza, reparaciones de la vivienda y de electrodomésticos, muebles y vehículos, (Limpieza y mantenimiento del hogar), la compra de artículos, dirigir o supervisar las actividades del hogar, pagar facturas y realizar trámites (Compras y administración del hogar), los cuidados y apoyos proporcionados a personas enfermas, de edad avanzada o menores de otros hogares (Voluntariado).</w:t>
      </w:r>
    </w:p>
    <w:p w14:paraId="56416B10" w14:textId="77777777" w:rsidR="00C22EDC" w:rsidRPr="00B6707C" w:rsidRDefault="00C22EDC" w:rsidP="00C22EDC">
      <w:pPr>
        <w:tabs>
          <w:tab w:val="left" w:pos="2730"/>
        </w:tabs>
        <w:spacing w:line="360" w:lineRule="auto"/>
        <w:jc w:val="both"/>
        <w:rPr>
          <w:rFonts w:ascii="Times New Roman" w:hAnsi="Times New Roman" w:cs="Times New Roman"/>
          <w:sz w:val="24"/>
          <w:szCs w:val="24"/>
        </w:rPr>
      </w:pPr>
      <w:r w:rsidRPr="00B6707C">
        <w:rPr>
          <w:rFonts w:ascii="Times New Roman" w:hAnsi="Times New Roman" w:cs="Times New Roman"/>
          <w:sz w:val="24"/>
          <w:szCs w:val="24"/>
        </w:rPr>
        <w:t>En lo concerniente a los Cuidados y Apoyo que se proporcionan a los integrantes del hogar comprenden los relacionados con los menores de 5 años, así como otro tipo de cuidados destinados a personas que tienen dificultades o impedimentos para realizar actividades cotidianas, y también apoyos para desarrollo de trabajos escolares, traslados y cuidados médicos para la salud del resto de los integrantes del hogar.</w:t>
      </w:r>
    </w:p>
    <w:p w14:paraId="26B51609" w14:textId="77777777" w:rsidR="00C22EDC" w:rsidRPr="004D5BD7" w:rsidRDefault="00C22EDC" w:rsidP="00C22EDC">
      <w:pPr>
        <w:tabs>
          <w:tab w:val="left" w:pos="2730"/>
        </w:tabs>
        <w:spacing w:line="360" w:lineRule="auto"/>
        <w:jc w:val="both"/>
        <w:rPr>
          <w:rFonts w:ascii="Times New Roman" w:hAnsi="Times New Roman" w:cs="Times New Roman"/>
          <w:sz w:val="24"/>
          <w:szCs w:val="24"/>
        </w:rPr>
      </w:pPr>
      <w:r>
        <w:rPr>
          <w:rFonts w:ascii="Times New Roman" w:hAnsi="Times New Roman" w:cs="Times New Roman"/>
          <w:sz w:val="24"/>
          <w:szCs w:val="24"/>
        </w:rPr>
        <w:t>En cuanto al ámbito laboral de las PcD y los cuidadores en el país, se debe mencionar que los datos sobre la situación de los primeros, arrojaba un tenue</w:t>
      </w:r>
      <w:r w:rsidRPr="004D5BD7">
        <w:rPr>
          <w:rFonts w:ascii="Times New Roman" w:hAnsi="Times New Roman" w:cs="Times New Roman"/>
          <w:sz w:val="24"/>
          <w:szCs w:val="24"/>
        </w:rPr>
        <w:t xml:space="preserve"> vínculo con el mercado laboral y una participación importante en el sector de servicios y en el empleo informal,  previsible </w:t>
      </w:r>
      <w:r>
        <w:rPr>
          <w:rFonts w:ascii="Times New Roman" w:hAnsi="Times New Roman" w:cs="Times New Roman"/>
          <w:sz w:val="24"/>
          <w:szCs w:val="24"/>
        </w:rPr>
        <w:t xml:space="preserve">si se tiene en cuenta </w:t>
      </w:r>
      <w:r w:rsidRPr="004D5BD7">
        <w:rPr>
          <w:rFonts w:ascii="Times New Roman" w:hAnsi="Times New Roman" w:cs="Times New Roman"/>
          <w:sz w:val="24"/>
          <w:szCs w:val="24"/>
        </w:rPr>
        <w:t>que esta población se v</w:t>
      </w:r>
      <w:r>
        <w:rPr>
          <w:rFonts w:ascii="Times New Roman" w:hAnsi="Times New Roman" w:cs="Times New Roman"/>
          <w:sz w:val="24"/>
          <w:szCs w:val="24"/>
        </w:rPr>
        <w:t xml:space="preserve">io </w:t>
      </w:r>
      <w:r w:rsidRPr="004D5BD7">
        <w:rPr>
          <w:rFonts w:ascii="Times New Roman" w:hAnsi="Times New Roman" w:cs="Times New Roman"/>
          <w:sz w:val="24"/>
          <w:szCs w:val="24"/>
        </w:rPr>
        <w:t>especialmente afectada por el desfavorable escenario del mercado laboral durante el período de recuperación</w:t>
      </w:r>
      <w:r>
        <w:rPr>
          <w:rFonts w:ascii="Times New Roman" w:hAnsi="Times New Roman" w:cs="Times New Roman"/>
          <w:sz w:val="24"/>
          <w:szCs w:val="24"/>
        </w:rPr>
        <w:t xml:space="preserve"> de postpandemia</w:t>
      </w:r>
      <w:r w:rsidRPr="004D5BD7">
        <w:rPr>
          <w:rFonts w:ascii="Times New Roman" w:hAnsi="Times New Roman" w:cs="Times New Roman"/>
          <w:sz w:val="24"/>
          <w:szCs w:val="24"/>
        </w:rPr>
        <w:t xml:space="preserve">. Aunque los datos concretos sobre esta realidad escasean, en una investigación en el Paraguay se estimó que el 40 % de las personas con  discapacidad en ese país quedaron desempleadas tras la finalización de la cuarentena,  con impactos significativos en los ingresos de sus hogares (Cepal, 2020, p. 3). Cabe recalcar que, desde la jurisprudencia de la Corte Constitucional, se ha manifestado en diferentes providencias (Sentencia SU-040/18, 2018; Sentencia T-286/19, 2019; Sentencia T-340/17, 2017) que las personas en situación de discapacidad son sujetos de especial protección constitucional a los cuales se les debe garantizar, en materia laboral, los derechos a la estabilidad laboral reforzada y la permanencia o reubicación de  personas </w:t>
      </w:r>
      <w:r w:rsidRPr="004D5BD7">
        <w:rPr>
          <w:rFonts w:ascii="Times New Roman" w:hAnsi="Times New Roman" w:cs="Times New Roman"/>
          <w:sz w:val="24"/>
          <w:szCs w:val="24"/>
        </w:rPr>
        <w:lastRenderedPageBreak/>
        <w:t>que ven disminuida su capacidad laboral. Estos derechos, evidentemente, deber</w:t>
      </w:r>
      <w:r>
        <w:rPr>
          <w:rFonts w:ascii="Times New Roman" w:hAnsi="Times New Roman" w:cs="Times New Roman"/>
          <w:sz w:val="24"/>
          <w:szCs w:val="24"/>
        </w:rPr>
        <w:t>í</w:t>
      </w:r>
      <w:r w:rsidRPr="004D5BD7">
        <w:rPr>
          <w:rFonts w:ascii="Times New Roman" w:hAnsi="Times New Roman" w:cs="Times New Roman"/>
          <w:sz w:val="24"/>
          <w:szCs w:val="24"/>
        </w:rPr>
        <w:t>an tener un mayor grado de protección y garantía</w:t>
      </w:r>
      <w:r>
        <w:rPr>
          <w:rFonts w:ascii="Times New Roman" w:hAnsi="Times New Roman" w:cs="Times New Roman"/>
          <w:sz w:val="24"/>
          <w:szCs w:val="24"/>
        </w:rPr>
        <w:t>,</w:t>
      </w:r>
      <w:r w:rsidRPr="004D5BD7">
        <w:rPr>
          <w:rFonts w:ascii="Times New Roman" w:hAnsi="Times New Roman" w:cs="Times New Roman"/>
          <w:sz w:val="24"/>
          <w:szCs w:val="24"/>
        </w:rPr>
        <w:t xml:space="preserve"> </w:t>
      </w:r>
      <w:r>
        <w:rPr>
          <w:rFonts w:ascii="Times New Roman" w:hAnsi="Times New Roman" w:cs="Times New Roman"/>
          <w:sz w:val="24"/>
          <w:szCs w:val="24"/>
        </w:rPr>
        <w:t xml:space="preserve">más aún </w:t>
      </w:r>
      <w:r w:rsidRPr="004D5BD7">
        <w:rPr>
          <w:rFonts w:ascii="Times New Roman" w:hAnsi="Times New Roman" w:cs="Times New Roman"/>
          <w:sz w:val="24"/>
          <w:szCs w:val="24"/>
        </w:rPr>
        <w:t xml:space="preserve">después de la época de pandemia. </w:t>
      </w:r>
    </w:p>
    <w:p w14:paraId="0C1B2D37" w14:textId="77777777" w:rsidR="00C22EDC" w:rsidRPr="004D5BD7" w:rsidRDefault="00C22EDC" w:rsidP="00C22EDC">
      <w:pPr>
        <w:tabs>
          <w:tab w:val="left" w:pos="2730"/>
        </w:tabs>
        <w:spacing w:line="360" w:lineRule="auto"/>
        <w:jc w:val="both"/>
        <w:rPr>
          <w:rFonts w:ascii="Times New Roman" w:hAnsi="Times New Roman" w:cs="Times New Roman"/>
          <w:sz w:val="24"/>
          <w:szCs w:val="24"/>
        </w:rPr>
      </w:pPr>
      <w:r>
        <w:rPr>
          <w:rFonts w:ascii="Times New Roman" w:hAnsi="Times New Roman" w:cs="Times New Roman"/>
          <w:sz w:val="24"/>
          <w:szCs w:val="24"/>
        </w:rPr>
        <w:t>En el ámbito educativo por otro lado, l</w:t>
      </w:r>
      <w:r w:rsidRPr="004D5BD7">
        <w:rPr>
          <w:rFonts w:ascii="Times New Roman" w:hAnsi="Times New Roman" w:cs="Times New Roman"/>
          <w:sz w:val="24"/>
          <w:szCs w:val="24"/>
        </w:rPr>
        <w:t>a interrupción de las actividades en centros educativos tuvo efectos significativos en el aprendizaje de estudiantes con discapacidad y perturb</w:t>
      </w:r>
      <w:r>
        <w:rPr>
          <w:rFonts w:ascii="Times New Roman" w:hAnsi="Times New Roman" w:cs="Times New Roman"/>
          <w:sz w:val="24"/>
          <w:szCs w:val="24"/>
        </w:rPr>
        <w:t>ó</w:t>
      </w:r>
      <w:r w:rsidRPr="004D5BD7">
        <w:rPr>
          <w:rFonts w:ascii="Times New Roman" w:hAnsi="Times New Roman" w:cs="Times New Roman"/>
          <w:sz w:val="24"/>
          <w:szCs w:val="24"/>
        </w:rPr>
        <w:t xml:space="preserve"> también su estado nutricional, ya que muchos estudiantes de hogares vulnerables, incluidos niños, niñas y adolescentes con discapacidad, dependían de programas de alimentación escolar. Aunque se ejecutaron planes para promover el uso de dispositivos digitales en los sistemas educativos, persistieron brechas en el acceso a las tecnologías de información</w:t>
      </w:r>
      <w:r>
        <w:rPr>
          <w:rFonts w:ascii="Times New Roman" w:hAnsi="Times New Roman" w:cs="Times New Roman"/>
          <w:sz w:val="24"/>
          <w:szCs w:val="24"/>
        </w:rPr>
        <w:t xml:space="preserve"> y</w:t>
      </w:r>
      <w:r w:rsidRPr="004D5BD7">
        <w:rPr>
          <w:rFonts w:ascii="Times New Roman" w:hAnsi="Times New Roman" w:cs="Times New Roman"/>
          <w:sz w:val="24"/>
          <w:szCs w:val="24"/>
        </w:rPr>
        <w:t xml:space="preserve"> las  limitaciones en las habilidades para su uso en los hogares con personas con discapacidad (Cepal, 2021, p. 5). </w:t>
      </w:r>
    </w:p>
    <w:p w14:paraId="09A25793" w14:textId="77777777" w:rsidR="00C22EDC" w:rsidRPr="004D5BD7" w:rsidRDefault="00C22EDC" w:rsidP="00C22EDC">
      <w:pPr>
        <w:tabs>
          <w:tab w:val="left" w:pos="2730"/>
        </w:tabs>
        <w:spacing w:line="360" w:lineRule="auto"/>
        <w:jc w:val="both"/>
        <w:rPr>
          <w:rFonts w:ascii="Times New Roman" w:hAnsi="Times New Roman" w:cs="Times New Roman"/>
          <w:sz w:val="24"/>
          <w:szCs w:val="24"/>
        </w:rPr>
      </w:pPr>
      <w:r>
        <w:rPr>
          <w:rFonts w:ascii="Times New Roman" w:hAnsi="Times New Roman" w:cs="Times New Roman"/>
          <w:sz w:val="24"/>
          <w:szCs w:val="24"/>
        </w:rPr>
        <w:t>En el contexto educativo, e</w:t>
      </w:r>
      <w:r w:rsidRPr="004D5BD7">
        <w:rPr>
          <w:rFonts w:ascii="Times New Roman" w:hAnsi="Times New Roman" w:cs="Times New Roman"/>
          <w:sz w:val="24"/>
          <w:szCs w:val="24"/>
        </w:rPr>
        <w:t>l confinamiento y las restricciones de desplazamiento agrav</w:t>
      </w:r>
      <w:r>
        <w:rPr>
          <w:rFonts w:ascii="Times New Roman" w:hAnsi="Times New Roman" w:cs="Times New Roman"/>
          <w:sz w:val="24"/>
          <w:szCs w:val="24"/>
        </w:rPr>
        <w:t>aron</w:t>
      </w:r>
      <w:r w:rsidRPr="004D5BD7">
        <w:rPr>
          <w:rFonts w:ascii="Times New Roman" w:hAnsi="Times New Roman" w:cs="Times New Roman"/>
          <w:sz w:val="24"/>
          <w:szCs w:val="24"/>
        </w:rPr>
        <w:t xml:space="preserve"> la situación de personas con ciertos tipos de discapacidad, por ejemplo, aquellas con trastorno del espectro autista (TEA), cuyas rutinas permit</w:t>
      </w:r>
      <w:r>
        <w:rPr>
          <w:rFonts w:ascii="Times New Roman" w:hAnsi="Times New Roman" w:cs="Times New Roman"/>
          <w:sz w:val="24"/>
          <w:szCs w:val="24"/>
        </w:rPr>
        <w:t>ía</w:t>
      </w:r>
      <w:r w:rsidRPr="004D5BD7">
        <w:rPr>
          <w:rFonts w:ascii="Times New Roman" w:hAnsi="Times New Roman" w:cs="Times New Roman"/>
          <w:sz w:val="24"/>
          <w:szCs w:val="24"/>
        </w:rPr>
        <w:t>n disminuir el</w:t>
      </w:r>
      <w:r>
        <w:rPr>
          <w:rFonts w:ascii="Times New Roman" w:hAnsi="Times New Roman" w:cs="Times New Roman"/>
          <w:sz w:val="24"/>
          <w:szCs w:val="24"/>
        </w:rPr>
        <w:t xml:space="preserve"> nivel de </w:t>
      </w:r>
      <w:r w:rsidRPr="004D5BD7">
        <w:rPr>
          <w:rFonts w:ascii="Times New Roman" w:hAnsi="Times New Roman" w:cs="Times New Roman"/>
          <w:sz w:val="24"/>
          <w:szCs w:val="24"/>
        </w:rPr>
        <w:t xml:space="preserve"> estrés y la ansiedad. La interrupción de esas rutinas debido al confinamiento afect</w:t>
      </w:r>
      <w:r>
        <w:rPr>
          <w:rFonts w:ascii="Times New Roman" w:hAnsi="Times New Roman" w:cs="Times New Roman"/>
          <w:sz w:val="24"/>
          <w:szCs w:val="24"/>
        </w:rPr>
        <w:t>ó</w:t>
      </w:r>
      <w:r w:rsidRPr="004D5BD7">
        <w:rPr>
          <w:rFonts w:ascii="Times New Roman" w:hAnsi="Times New Roman" w:cs="Times New Roman"/>
          <w:sz w:val="24"/>
          <w:szCs w:val="24"/>
        </w:rPr>
        <w:t xml:space="preserve"> de manera negativa el bienestar de esas personas y sus familias (Cepal, 2021, p. 7).</w:t>
      </w:r>
    </w:p>
    <w:p w14:paraId="3406458B" w14:textId="77777777" w:rsidR="00C22EDC" w:rsidRPr="00C933EF" w:rsidRDefault="00C22EDC" w:rsidP="00C22EDC">
      <w:pPr>
        <w:tabs>
          <w:tab w:val="left" w:pos="2730"/>
        </w:tabs>
        <w:spacing w:line="360" w:lineRule="auto"/>
        <w:jc w:val="both"/>
        <w:rPr>
          <w:rFonts w:ascii="Times New Roman" w:hAnsi="Times New Roman" w:cs="Times New Roman"/>
          <w:sz w:val="24"/>
          <w:szCs w:val="24"/>
        </w:rPr>
      </w:pPr>
      <w:r>
        <w:rPr>
          <w:rFonts w:ascii="Times New Roman" w:hAnsi="Times New Roman" w:cs="Times New Roman"/>
          <w:sz w:val="24"/>
          <w:szCs w:val="24"/>
        </w:rPr>
        <w:t>Finalmente, haciendo énfasis en el tema de los hallazgos con respecto al sistema de cuidado en Colombia, m</w:t>
      </w:r>
      <w:r w:rsidRPr="00C933EF">
        <w:rPr>
          <w:rFonts w:ascii="Times New Roman" w:hAnsi="Times New Roman" w:cs="Times New Roman"/>
          <w:sz w:val="24"/>
          <w:szCs w:val="24"/>
        </w:rPr>
        <w:t xml:space="preserve">ediante las políticas que se plantean y de la forma en que se encuentran estructuradas, </w:t>
      </w:r>
      <w:r>
        <w:rPr>
          <w:rFonts w:ascii="Times New Roman" w:hAnsi="Times New Roman" w:cs="Times New Roman"/>
          <w:sz w:val="24"/>
          <w:szCs w:val="24"/>
        </w:rPr>
        <w:t>concluimos que, prácticamente se ha constreñido</w:t>
      </w:r>
      <w:r w:rsidRPr="00C933EF">
        <w:rPr>
          <w:rFonts w:ascii="Times New Roman" w:hAnsi="Times New Roman" w:cs="Times New Roman"/>
          <w:sz w:val="24"/>
          <w:szCs w:val="24"/>
        </w:rPr>
        <w:t xml:space="preserve"> a que la familia asuma el rol de cuidados y eso dista del principio de autonomía que se propende con el nuevo marco legal colombiano para PcD. Dicho esto, generamos una serie de recomendaciones</w:t>
      </w:r>
      <w:r>
        <w:rPr>
          <w:rFonts w:ascii="Times New Roman" w:hAnsi="Times New Roman" w:cs="Times New Roman"/>
          <w:sz w:val="24"/>
          <w:szCs w:val="24"/>
        </w:rPr>
        <w:t>/observaciones</w:t>
      </w:r>
      <w:r w:rsidRPr="00C933EF">
        <w:rPr>
          <w:rFonts w:ascii="Times New Roman" w:hAnsi="Times New Roman" w:cs="Times New Roman"/>
          <w:sz w:val="24"/>
          <w:szCs w:val="24"/>
        </w:rPr>
        <w:t xml:space="preserve"> para ser tenidas en cuenta en la formulación e implementación de políticas públicas: </w:t>
      </w:r>
    </w:p>
    <w:p w14:paraId="6FA6C69A" w14:textId="77777777" w:rsidR="00C22EDC" w:rsidRPr="00C933EF" w:rsidRDefault="00C22EDC" w:rsidP="00C22EDC">
      <w:pPr>
        <w:numPr>
          <w:ilvl w:val="0"/>
          <w:numId w:val="2"/>
        </w:numPr>
        <w:tabs>
          <w:tab w:val="left" w:pos="2730"/>
        </w:tabs>
        <w:spacing w:line="360" w:lineRule="auto"/>
        <w:jc w:val="both"/>
        <w:rPr>
          <w:rFonts w:ascii="Times New Roman" w:hAnsi="Times New Roman" w:cs="Times New Roman"/>
          <w:sz w:val="24"/>
          <w:szCs w:val="24"/>
        </w:rPr>
      </w:pPr>
      <w:r w:rsidRPr="00C933EF">
        <w:rPr>
          <w:rFonts w:ascii="Times New Roman" w:hAnsi="Times New Roman" w:cs="Times New Roman"/>
          <w:sz w:val="24"/>
          <w:szCs w:val="24"/>
        </w:rPr>
        <w:t xml:space="preserve">El Estado no cuenta con medidas que garanticen el acceso a una vida independiente de la persona con discapacidad, generando así, una dependencia de los factores externos y de la disponibilidad de tiempo del familiar más cercano. </w:t>
      </w:r>
    </w:p>
    <w:p w14:paraId="6C1DEB5E" w14:textId="77777777" w:rsidR="00C22EDC" w:rsidRPr="00C933EF" w:rsidRDefault="00C22EDC" w:rsidP="00C22EDC">
      <w:pPr>
        <w:numPr>
          <w:ilvl w:val="0"/>
          <w:numId w:val="2"/>
        </w:numPr>
        <w:tabs>
          <w:tab w:val="left" w:pos="2730"/>
        </w:tabs>
        <w:spacing w:line="360" w:lineRule="auto"/>
        <w:jc w:val="both"/>
        <w:rPr>
          <w:rFonts w:ascii="Times New Roman" w:hAnsi="Times New Roman" w:cs="Times New Roman"/>
          <w:sz w:val="24"/>
          <w:szCs w:val="24"/>
        </w:rPr>
      </w:pPr>
      <w:r w:rsidRPr="00C933EF">
        <w:rPr>
          <w:rFonts w:ascii="Times New Roman" w:hAnsi="Times New Roman" w:cs="Times New Roman"/>
          <w:sz w:val="24"/>
          <w:szCs w:val="24"/>
        </w:rPr>
        <w:t xml:space="preserve">Las políticas públicas  que se han formulado en el país con respecto a este punto aún conservan una tendencia asistencialista y subsidiaria, este último basado en cifras mezquinas que en lo absoluto reflejan las necesidades básicas de la población con discapacidad </w:t>
      </w:r>
    </w:p>
    <w:p w14:paraId="52DB64DE" w14:textId="77777777" w:rsidR="00C22EDC" w:rsidRPr="00C933EF" w:rsidRDefault="00C22EDC" w:rsidP="00C22EDC">
      <w:pPr>
        <w:numPr>
          <w:ilvl w:val="0"/>
          <w:numId w:val="2"/>
        </w:numPr>
        <w:tabs>
          <w:tab w:val="left" w:pos="2730"/>
        </w:tabs>
        <w:spacing w:line="360" w:lineRule="auto"/>
        <w:jc w:val="both"/>
        <w:rPr>
          <w:rFonts w:ascii="Times New Roman" w:hAnsi="Times New Roman" w:cs="Times New Roman"/>
          <w:sz w:val="24"/>
          <w:szCs w:val="24"/>
        </w:rPr>
      </w:pPr>
      <w:r w:rsidRPr="00C933EF">
        <w:rPr>
          <w:rFonts w:ascii="Times New Roman" w:hAnsi="Times New Roman" w:cs="Times New Roman"/>
          <w:sz w:val="24"/>
          <w:szCs w:val="24"/>
        </w:rPr>
        <w:lastRenderedPageBreak/>
        <w:t>Consideramos relevante trabajar de manera mancomunada en la ampliación de  servicios, como:</w:t>
      </w:r>
    </w:p>
    <w:p w14:paraId="45B96BE5" w14:textId="77777777" w:rsidR="00C22EDC" w:rsidRPr="00C933EF" w:rsidRDefault="00C22EDC" w:rsidP="00C22EDC">
      <w:pPr>
        <w:numPr>
          <w:ilvl w:val="0"/>
          <w:numId w:val="4"/>
        </w:numPr>
        <w:tabs>
          <w:tab w:val="left" w:pos="2730"/>
        </w:tabs>
        <w:spacing w:line="360" w:lineRule="auto"/>
        <w:jc w:val="both"/>
        <w:rPr>
          <w:rFonts w:ascii="Times New Roman" w:hAnsi="Times New Roman" w:cs="Times New Roman"/>
          <w:sz w:val="24"/>
          <w:szCs w:val="24"/>
        </w:rPr>
      </w:pPr>
      <w:r>
        <w:rPr>
          <w:rFonts w:ascii="Times New Roman" w:hAnsi="Times New Roman" w:cs="Times New Roman"/>
          <w:sz w:val="24"/>
          <w:szCs w:val="24"/>
        </w:rPr>
        <w:t>Promover</w:t>
      </w:r>
      <w:r>
        <w:rPr>
          <w:rFonts w:ascii="Times New Roman" w:hAnsi="Times New Roman" w:cs="Times New Roman"/>
          <w:sz w:val="24"/>
          <w:szCs w:val="24"/>
          <w:lang w:val="es-ES"/>
        </w:rPr>
        <w:t xml:space="preserve"> </w:t>
      </w:r>
      <w:r>
        <w:rPr>
          <w:rFonts w:ascii="Times New Roman" w:hAnsi="Times New Roman" w:cs="Times New Roman"/>
          <w:sz w:val="24"/>
          <w:szCs w:val="24"/>
        </w:rPr>
        <w:t>l</w:t>
      </w:r>
      <w:r w:rsidRPr="00C933EF">
        <w:rPr>
          <w:rFonts w:ascii="Times New Roman" w:hAnsi="Times New Roman" w:cs="Times New Roman"/>
          <w:sz w:val="24"/>
          <w:szCs w:val="24"/>
        </w:rPr>
        <w:t xml:space="preserve">a asistencia personal </w:t>
      </w:r>
      <w:r>
        <w:rPr>
          <w:rFonts w:ascii="Times New Roman" w:hAnsi="Times New Roman" w:cs="Times New Roman"/>
          <w:sz w:val="24"/>
          <w:szCs w:val="24"/>
        </w:rPr>
        <w:t>como figura de apoyo para que las personas con discapacidad cuenten con una persona externa a la familia para que les ayude a realizar sus actividades cotidianas (aseo personal, salir de compras, sacar dinero del banco, acompañar a reuniones de trabajo, acompañar al cine, entre otros).</w:t>
      </w:r>
    </w:p>
    <w:p w14:paraId="756D0276" w14:textId="77777777" w:rsidR="00C22EDC" w:rsidRPr="00C933EF" w:rsidRDefault="00C22EDC" w:rsidP="00C22EDC">
      <w:pPr>
        <w:numPr>
          <w:ilvl w:val="0"/>
          <w:numId w:val="3"/>
        </w:numPr>
        <w:tabs>
          <w:tab w:val="left" w:pos="2730"/>
        </w:tabs>
        <w:spacing w:line="360" w:lineRule="auto"/>
        <w:jc w:val="both"/>
        <w:rPr>
          <w:rFonts w:ascii="Times New Roman" w:hAnsi="Times New Roman" w:cs="Times New Roman"/>
          <w:sz w:val="24"/>
          <w:szCs w:val="24"/>
        </w:rPr>
      </w:pPr>
      <w:r w:rsidRPr="00C933EF">
        <w:rPr>
          <w:rFonts w:ascii="Times New Roman" w:hAnsi="Times New Roman" w:cs="Times New Roman"/>
          <w:sz w:val="24"/>
          <w:szCs w:val="24"/>
        </w:rPr>
        <w:t xml:space="preserve">El acceso a capacitación y socialización de los derechos que tienen las </w:t>
      </w:r>
      <w:r>
        <w:rPr>
          <w:rFonts w:ascii="Times New Roman" w:hAnsi="Times New Roman" w:cs="Times New Roman"/>
          <w:sz w:val="24"/>
          <w:szCs w:val="24"/>
        </w:rPr>
        <w:t>PcD</w:t>
      </w:r>
      <w:r w:rsidRPr="00C933EF">
        <w:rPr>
          <w:rFonts w:ascii="Times New Roman" w:hAnsi="Times New Roman" w:cs="Times New Roman"/>
          <w:sz w:val="24"/>
          <w:szCs w:val="24"/>
        </w:rPr>
        <w:t xml:space="preserve">. </w:t>
      </w:r>
    </w:p>
    <w:p w14:paraId="720453A3" w14:textId="77777777" w:rsidR="00C22EDC" w:rsidRPr="00C933EF" w:rsidRDefault="00C22EDC" w:rsidP="00C22EDC">
      <w:pPr>
        <w:numPr>
          <w:ilvl w:val="0"/>
          <w:numId w:val="3"/>
        </w:numPr>
        <w:tabs>
          <w:tab w:val="left" w:pos="2730"/>
        </w:tabs>
        <w:spacing w:line="360" w:lineRule="auto"/>
        <w:jc w:val="both"/>
        <w:rPr>
          <w:rFonts w:ascii="Times New Roman" w:hAnsi="Times New Roman" w:cs="Times New Roman"/>
          <w:sz w:val="24"/>
          <w:szCs w:val="24"/>
        </w:rPr>
      </w:pPr>
      <w:r>
        <w:rPr>
          <w:rFonts w:ascii="Times New Roman" w:hAnsi="Times New Roman" w:cs="Times New Roman"/>
          <w:sz w:val="24"/>
          <w:szCs w:val="24"/>
        </w:rPr>
        <w:t>Preponderante</w:t>
      </w:r>
      <w:r w:rsidRPr="00C933EF">
        <w:rPr>
          <w:rFonts w:ascii="Times New Roman" w:hAnsi="Times New Roman" w:cs="Times New Roman"/>
          <w:sz w:val="24"/>
          <w:szCs w:val="24"/>
        </w:rPr>
        <w:t xml:space="preserve"> tener en cuenta dentro de la formulación e implementación de  políticas, a las familias de las </w:t>
      </w:r>
      <w:r>
        <w:rPr>
          <w:rFonts w:ascii="Times New Roman" w:hAnsi="Times New Roman" w:cs="Times New Roman"/>
          <w:sz w:val="24"/>
          <w:szCs w:val="24"/>
        </w:rPr>
        <w:t>PcD</w:t>
      </w:r>
      <w:r w:rsidRPr="00C933EF">
        <w:rPr>
          <w:rFonts w:ascii="Times New Roman" w:hAnsi="Times New Roman" w:cs="Times New Roman"/>
          <w:sz w:val="24"/>
          <w:szCs w:val="24"/>
        </w:rPr>
        <w:t xml:space="preserve"> como parte fundamental en la construcción de los programas de vida independiente de dicha población. </w:t>
      </w:r>
    </w:p>
    <w:p w14:paraId="2B098E46" w14:textId="77777777" w:rsidR="00C22EDC" w:rsidRPr="00C933EF" w:rsidRDefault="00C22EDC" w:rsidP="00C22EDC">
      <w:pPr>
        <w:numPr>
          <w:ilvl w:val="0"/>
          <w:numId w:val="3"/>
        </w:numPr>
        <w:tabs>
          <w:tab w:val="left" w:pos="2730"/>
        </w:tabs>
        <w:spacing w:line="360" w:lineRule="auto"/>
        <w:jc w:val="both"/>
        <w:rPr>
          <w:rFonts w:ascii="Times New Roman" w:hAnsi="Times New Roman" w:cs="Times New Roman"/>
          <w:sz w:val="24"/>
          <w:szCs w:val="24"/>
        </w:rPr>
      </w:pPr>
      <w:r w:rsidRPr="00C933EF">
        <w:rPr>
          <w:rFonts w:ascii="Times New Roman" w:hAnsi="Times New Roman" w:cs="Times New Roman"/>
          <w:sz w:val="24"/>
          <w:szCs w:val="24"/>
        </w:rPr>
        <w:t xml:space="preserve">Propiciar escenarios de vida independiente. Desde el contexto latinoamericano, por ejemplo, </w:t>
      </w:r>
      <w:r>
        <w:rPr>
          <w:rFonts w:ascii="Times New Roman" w:hAnsi="Times New Roman" w:cs="Times New Roman"/>
          <w:sz w:val="24"/>
          <w:szCs w:val="24"/>
        </w:rPr>
        <w:t>podríamos hacer un benchmarking</w:t>
      </w:r>
      <w:r w:rsidRPr="00C933EF">
        <w:rPr>
          <w:rFonts w:ascii="Times New Roman" w:hAnsi="Times New Roman" w:cs="Times New Roman"/>
          <w:sz w:val="24"/>
          <w:szCs w:val="24"/>
        </w:rPr>
        <w:t xml:space="preserve"> </w:t>
      </w:r>
      <w:r>
        <w:rPr>
          <w:rFonts w:ascii="Times New Roman" w:hAnsi="Times New Roman" w:cs="Times New Roman"/>
          <w:sz w:val="24"/>
          <w:szCs w:val="24"/>
        </w:rPr>
        <w:t>frente</w:t>
      </w:r>
      <w:r w:rsidRPr="00C933EF">
        <w:rPr>
          <w:rFonts w:ascii="Times New Roman" w:hAnsi="Times New Roman" w:cs="Times New Roman"/>
          <w:sz w:val="24"/>
          <w:szCs w:val="24"/>
        </w:rPr>
        <w:t xml:space="preserve"> a las </w:t>
      </w:r>
      <w:r w:rsidRPr="00C933EF">
        <w:rPr>
          <w:rFonts w:ascii="Times New Roman" w:hAnsi="Times New Roman" w:cs="Times New Roman"/>
          <w:i/>
          <w:iCs/>
          <w:sz w:val="24"/>
          <w:szCs w:val="24"/>
        </w:rPr>
        <w:t>casas comunales de habitabilidad</w:t>
      </w:r>
      <w:r w:rsidRPr="00C933EF">
        <w:rPr>
          <w:rFonts w:ascii="Times New Roman" w:hAnsi="Times New Roman" w:cs="Times New Roman"/>
          <w:sz w:val="24"/>
          <w:szCs w:val="24"/>
        </w:rPr>
        <w:t xml:space="preserve"> donde las personas con discapacidad puedan vivir o compartir espacios como los </w:t>
      </w:r>
      <w:proofErr w:type="spellStart"/>
      <w:r w:rsidRPr="00C933EF">
        <w:rPr>
          <w:rFonts w:ascii="Times New Roman" w:hAnsi="Times New Roman" w:cs="Times New Roman"/>
          <w:i/>
          <w:iCs/>
          <w:sz w:val="24"/>
          <w:szCs w:val="24"/>
        </w:rPr>
        <w:t>roomies</w:t>
      </w:r>
      <w:proofErr w:type="spellEnd"/>
      <w:r w:rsidRPr="00C933EF">
        <w:rPr>
          <w:rFonts w:ascii="Times New Roman" w:hAnsi="Times New Roman" w:cs="Times New Roman"/>
          <w:sz w:val="24"/>
          <w:szCs w:val="24"/>
        </w:rPr>
        <w:t>. Estas tendrían una estructura accesible, otorgando total autonomía desde lo más sencillo como la hora de llegada a la casa, hasta el acceso de servicios de asistencia personal y accesibilidad.</w:t>
      </w:r>
    </w:p>
    <w:p w14:paraId="28A3E939" w14:textId="77777777" w:rsidR="00C22EDC" w:rsidRPr="00C933EF" w:rsidRDefault="00C22EDC" w:rsidP="00C22EDC">
      <w:pPr>
        <w:numPr>
          <w:ilvl w:val="0"/>
          <w:numId w:val="3"/>
        </w:numPr>
        <w:tabs>
          <w:tab w:val="left" w:pos="2730"/>
        </w:tabs>
        <w:spacing w:line="360" w:lineRule="auto"/>
        <w:jc w:val="both"/>
        <w:rPr>
          <w:rFonts w:ascii="Times New Roman" w:hAnsi="Times New Roman" w:cs="Times New Roman"/>
          <w:sz w:val="24"/>
          <w:szCs w:val="24"/>
        </w:rPr>
      </w:pPr>
      <w:r w:rsidRPr="00C933EF">
        <w:rPr>
          <w:rFonts w:ascii="Times New Roman" w:hAnsi="Times New Roman" w:cs="Times New Roman"/>
          <w:sz w:val="24"/>
          <w:szCs w:val="24"/>
        </w:rPr>
        <w:t>Hace</w:t>
      </w:r>
      <w:r>
        <w:rPr>
          <w:rFonts w:ascii="Times New Roman" w:hAnsi="Times New Roman" w:cs="Times New Roman"/>
          <w:sz w:val="24"/>
          <w:szCs w:val="24"/>
        </w:rPr>
        <w:t>r</w:t>
      </w:r>
      <w:r w:rsidRPr="00C933EF">
        <w:rPr>
          <w:rFonts w:ascii="Times New Roman" w:hAnsi="Times New Roman" w:cs="Times New Roman"/>
          <w:sz w:val="24"/>
          <w:szCs w:val="24"/>
        </w:rPr>
        <w:t xml:space="preserve"> hincapié en el tema de manejo de escenarios independientes, por cuanto no se desea bajo ninguna circunstancia,</w:t>
      </w:r>
      <w:r>
        <w:rPr>
          <w:rFonts w:ascii="Times New Roman" w:hAnsi="Times New Roman" w:cs="Times New Roman"/>
          <w:sz w:val="24"/>
          <w:szCs w:val="24"/>
        </w:rPr>
        <w:t xml:space="preserve"> </w:t>
      </w:r>
      <w:r w:rsidRPr="00C933EF">
        <w:rPr>
          <w:rFonts w:ascii="Times New Roman" w:hAnsi="Times New Roman" w:cs="Times New Roman"/>
          <w:sz w:val="24"/>
          <w:szCs w:val="24"/>
        </w:rPr>
        <w:t>que su abordaje genere controversias por asuntos de segregación.</w:t>
      </w:r>
    </w:p>
    <w:p w14:paraId="333708B9" w14:textId="77777777" w:rsidR="00C22EDC" w:rsidRDefault="00C22EDC" w:rsidP="00C22EDC">
      <w:pPr>
        <w:numPr>
          <w:ilvl w:val="0"/>
          <w:numId w:val="3"/>
        </w:numPr>
        <w:tabs>
          <w:tab w:val="left" w:pos="2730"/>
        </w:tabs>
        <w:spacing w:line="360" w:lineRule="auto"/>
        <w:jc w:val="both"/>
        <w:rPr>
          <w:rFonts w:ascii="Times New Roman" w:hAnsi="Times New Roman" w:cs="Times New Roman"/>
          <w:sz w:val="24"/>
          <w:szCs w:val="24"/>
        </w:rPr>
      </w:pPr>
      <w:r w:rsidRPr="00C933EF">
        <w:rPr>
          <w:rFonts w:ascii="Times New Roman" w:hAnsi="Times New Roman" w:cs="Times New Roman"/>
          <w:sz w:val="24"/>
          <w:szCs w:val="24"/>
        </w:rPr>
        <w:t>Considerar la posibilidad de que el  Estado promueva planes referentes a predios  (apartamentos o casas con accesibilidad) a un  costo menor para personas con discapacidad, de tal suerte que puedan vivir solas</w:t>
      </w:r>
      <w:r>
        <w:rPr>
          <w:rFonts w:ascii="Times New Roman" w:hAnsi="Times New Roman" w:cs="Times New Roman"/>
          <w:sz w:val="24"/>
          <w:szCs w:val="24"/>
        </w:rPr>
        <w:t xml:space="preserve"> con los apoyos que requieren</w:t>
      </w:r>
      <w:r w:rsidRPr="00C933EF">
        <w:rPr>
          <w:rFonts w:ascii="Times New Roman" w:hAnsi="Times New Roman" w:cs="Times New Roman"/>
          <w:sz w:val="24"/>
          <w:szCs w:val="24"/>
        </w:rPr>
        <w:t xml:space="preserve">, con el fin de garantizar su autonomía. Estos espacios podrían ser compartidos con </w:t>
      </w:r>
      <w:r>
        <w:rPr>
          <w:rFonts w:ascii="Times New Roman" w:hAnsi="Times New Roman" w:cs="Times New Roman"/>
          <w:sz w:val="24"/>
          <w:szCs w:val="24"/>
        </w:rPr>
        <w:t>otras PcD</w:t>
      </w:r>
      <w:r w:rsidRPr="00C933EF">
        <w:rPr>
          <w:rFonts w:ascii="Times New Roman" w:hAnsi="Times New Roman" w:cs="Times New Roman"/>
          <w:sz w:val="24"/>
          <w:szCs w:val="24"/>
        </w:rPr>
        <w:t>.</w:t>
      </w:r>
    </w:p>
    <w:p w14:paraId="615672F4" w14:textId="77777777" w:rsidR="00C22EDC" w:rsidRPr="00C933EF" w:rsidRDefault="00C22EDC" w:rsidP="00C22EDC">
      <w:pPr>
        <w:tabs>
          <w:tab w:val="left" w:pos="2730"/>
        </w:tabs>
        <w:spacing w:line="360" w:lineRule="auto"/>
        <w:ind w:left="720"/>
        <w:jc w:val="both"/>
        <w:rPr>
          <w:rFonts w:ascii="Times New Roman" w:hAnsi="Times New Roman" w:cs="Times New Roman"/>
          <w:sz w:val="24"/>
          <w:szCs w:val="24"/>
        </w:rPr>
      </w:pPr>
    </w:p>
    <w:p w14:paraId="4C84DAFF" w14:textId="77777777" w:rsidR="00C22EDC" w:rsidRDefault="00C22EDC" w:rsidP="00C22EDC">
      <w:pPr>
        <w:tabs>
          <w:tab w:val="left" w:pos="2730"/>
        </w:tabs>
        <w:spacing w:line="360" w:lineRule="auto"/>
        <w:jc w:val="both"/>
        <w:rPr>
          <w:rFonts w:ascii="Times New Roman" w:hAnsi="Times New Roman" w:cs="Times New Roman"/>
          <w:sz w:val="24"/>
          <w:szCs w:val="24"/>
        </w:rPr>
      </w:pPr>
    </w:p>
    <w:p w14:paraId="1FD2591B" w14:textId="77777777" w:rsidR="00C22EDC" w:rsidRDefault="00C22EDC" w:rsidP="00C22EDC">
      <w:pPr>
        <w:pStyle w:val="Bibliography"/>
        <w:ind w:left="720" w:hanging="720"/>
        <w:jc w:val="center"/>
        <w:rPr>
          <w:rFonts w:ascii="Times New Roman" w:hAnsi="Times New Roman" w:cs="Times New Roman"/>
          <w:b/>
          <w:bCs/>
          <w:sz w:val="24"/>
          <w:szCs w:val="24"/>
        </w:rPr>
      </w:pPr>
      <w:r w:rsidRPr="00E765E1">
        <w:rPr>
          <w:rFonts w:ascii="Times New Roman" w:hAnsi="Times New Roman" w:cs="Times New Roman"/>
          <w:b/>
          <w:bCs/>
          <w:sz w:val="24"/>
          <w:szCs w:val="24"/>
        </w:rPr>
        <w:t>Referencias</w:t>
      </w:r>
    </w:p>
    <w:p w14:paraId="63B12CEF" w14:textId="77777777" w:rsidR="00C22EDC" w:rsidRDefault="00C22EDC" w:rsidP="00C22EDC"/>
    <w:p w14:paraId="1F15BBA5" w14:textId="77777777" w:rsidR="00C22EDC" w:rsidRPr="003B7620" w:rsidRDefault="00C22EDC" w:rsidP="00C22EDC">
      <w:pPr>
        <w:spacing w:before="240"/>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Bustamante, J. Isaza, Federico. (2020) Capacidad Legal de las Personas con Discapacidad.               Capacidad Jurídica en la Convención Sobre los Derechos de las Personas con Discapacidad.</w:t>
      </w:r>
    </w:p>
    <w:p w14:paraId="1FCC7538" w14:textId="77777777" w:rsidR="00C22EDC" w:rsidRPr="00E765E1" w:rsidRDefault="00C22EDC" w:rsidP="00C22EDC">
      <w:pPr>
        <w:pStyle w:val="Bibliography"/>
        <w:ind w:left="720" w:hanging="720"/>
        <w:rPr>
          <w:rFonts w:ascii="Times New Roman" w:hAnsi="Times New Roman" w:cs="Times New Roman"/>
          <w:noProof/>
          <w:sz w:val="24"/>
          <w:szCs w:val="24"/>
          <w:lang w:val="es-MX"/>
        </w:rPr>
      </w:pPr>
      <w:r w:rsidRPr="00E765E1">
        <w:rPr>
          <w:rFonts w:ascii="Times New Roman" w:hAnsi="Times New Roman" w:cs="Times New Roman"/>
          <w:sz w:val="24"/>
          <w:szCs w:val="24"/>
        </w:rPr>
        <w:fldChar w:fldCharType="begin"/>
      </w:r>
      <w:r w:rsidRPr="00E765E1">
        <w:rPr>
          <w:rFonts w:ascii="Times New Roman" w:hAnsi="Times New Roman" w:cs="Times New Roman"/>
          <w:sz w:val="24"/>
          <w:szCs w:val="24"/>
          <w:lang w:val="es-MX"/>
        </w:rPr>
        <w:instrText xml:space="preserve"> BIBLIOGRAPHY  \l 2058 </w:instrText>
      </w:r>
      <w:r w:rsidRPr="00E765E1">
        <w:rPr>
          <w:rFonts w:ascii="Times New Roman" w:hAnsi="Times New Roman" w:cs="Times New Roman"/>
          <w:sz w:val="24"/>
          <w:szCs w:val="24"/>
        </w:rPr>
        <w:fldChar w:fldCharType="separate"/>
      </w:r>
      <w:r w:rsidRPr="00E765E1">
        <w:rPr>
          <w:rFonts w:ascii="Times New Roman" w:hAnsi="Times New Roman" w:cs="Times New Roman"/>
          <w:noProof/>
          <w:sz w:val="24"/>
          <w:szCs w:val="24"/>
          <w:lang w:val="es-MX"/>
        </w:rPr>
        <w:t>Cerón, P. (2022). Inclusión social, discapacidad y políticas públicas una mirada desde el actuar de las clínicas jurídicas.</w:t>
      </w:r>
    </w:p>
    <w:p w14:paraId="01B9BBBD" w14:textId="77777777" w:rsidR="00C22EDC" w:rsidRPr="00E765E1" w:rsidRDefault="00C22EDC" w:rsidP="00C22EDC">
      <w:pPr>
        <w:pStyle w:val="Bibliography"/>
        <w:ind w:left="720" w:hanging="720"/>
        <w:rPr>
          <w:rFonts w:ascii="Times New Roman" w:hAnsi="Times New Roman" w:cs="Times New Roman"/>
          <w:noProof/>
          <w:sz w:val="24"/>
          <w:szCs w:val="24"/>
          <w:lang w:val="es-MX"/>
        </w:rPr>
      </w:pPr>
      <w:r w:rsidRPr="00E765E1">
        <w:rPr>
          <w:rFonts w:ascii="Times New Roman" w:hAnsi="Times New Roman" w:cs="Times New Roman"/>
          <w:noProof/>
          <w:sz w:val="24"/>
          <w:szCs w:val="24"/>
          <w:lang w:val="es-MX"/>
        </w:rPr>
        <w:t>Departamento Nacional de Estadística. (2018). Censo Nacional de Población y Vivienda.</w:t>
      </w:r>
    </w:p>
    <w:p w14:paraId="4D6405B2" w14:textId="77777777" w:rsidR="00C22EDC" w:rsidRDefault="00C22EDC" w:rsidP="00C22EDC">
      <w:pPr>
        <w:ind w:left="709" w:hanging="709"/>
        <w:rPr>
          <w:rFonts w:ascii="Times New Roman" w:hAnsi="Times New Roman" w:cs="Times New Roman"/>
          <w:sz w:val="24"/>
          <w:szCs w:val="24"/>
        </w:rPr>
      </w:pPr>
      <w:r w:rsidRPr="00E765E1">
        <w:rPr>
          <w:rFonts w:ascii="Times New Roman" w:hAnsi="Times New Roman" w:cs="Times New Roman"/>
          <w:sz w:val="24"/>
          <w:szCs w:val="24"/>
        </w:rPr>
        <w:fldChar w:fldCharType="end"/>
      </w:r>
    </w:p>
    <w:p w14:paraId="113B54D0" w14:textId="77777777" w:rsidR="00C22EDC" w:rsidRPr="009D2AFC" w:rsidRDefault="00C22EDC" w:rsidP="00C22EDC">
      <w:pPr>
        <w:ind w:left="709" w:hanging="709"/>
      </w:pPr>
      <w:r w:rsidRPr="00381A57">
        <w:rPr>
          <w:rFonts w:ascii="Times New Roman" w:hAnsi="Times New Roman" w:cs="Times New Roman"/>
          <w:sz w:val="24"/>
          <w:szCs w:val="24"/>
        </w:rPr>
        <w:t>DNP (2019). Documento de Lineamientos de Política de Cuidado en Colombia. Bogotá D. C., Colombia: Departamento Nacional de Planeación, Dirección de Desarrollo Social, Subdirección de Género.</w:t>
      </w:r>
    </w:p>
    <w:p w14:paraId="2C315D32" w14:textId="77777777" w:rsidR="00C22EDC" w:rsidRPr="0005532D" w:rsidRDefault="00C22EDC" w:rsidP="00C22EDC">
      <w:pPr>
        <w:tabs>
          <w:tab w:val="left" w:pos="2730"/>
        </w:tabs>
        <w:spacing w:line="360" w:lineRule="auto"/>
        <w:jc w:val="both"/>
        <w:rPr>
          <w:rFonts w:ascii="Times New Roman" w:hAnsi="Times New Roman" w:cs="Times New Roman"/>
          <w:sz w:val="24"/>
          <w:szCs w:val="24"/>
        </w:rPr>
      </w:pPr>
    </w:p>
    <w:p w14:paraId="2BC6EA7E" w14:textId="77777777" w:rsidR="00C22EDC" w:rsidRDefault="00C22EDC"/>
    <w:sectPr w:rsidR="00C22ED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9CBE3" w14:textId="77777777" w:rsidR="00680AD8" w:rsidRDefault="00680AD8" w:rsidP="00C22EDC">
      <w:pPr>
        <w:spacing w:after="0" w:line="240" w:lineRule="auto"/>
      </w:pPr>
      <w:r>
        <w:separator/>
      </w:r>
    </w:p>
  </w:endnote>
  <w:endnote w:type="continuationSeparator" w:id="0">
    <w:p w14:paraId="7CC32257" w14:textId="77777777" w:rsidR="00680AD8" w:rsidRDefault="00680AD8" w:rsidP="00C2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8C826" w14:textId="77777777" w:rsidR="00680AD8" w:rsidRDefault="00680AD8" w:rsidP="00C22EDC">
      <w:pPr>
        <w:spacing w:after="0" w:line="240" w:lineRule="auto"/>
      </w:pPr>
      <w:r>
        <w:separator/>
      </w:r>
    </w:p>
  </w:footnote>
  <w:footnote w:type="continuationSeparator" w:id="0">
    <w:p w14:paraId="714438F3" w14:textId="77777777" w:rsidR="00680AD8" w:rsidRDefault="00680AD8" w:rsidP="00C22EDC">
      <w:pPr>
        <w:spacing w:after="0" w:line="240" w:lineRule="auto"/>
      </w:pPr>
      <w:r>
        <w:continuationSeparator/>
      </w:r>
    </w:p>
  </w:footnote>
  <w:footnote w:id="1">
    <w:p w14:paraId="7CD11264" w14:textId="77777777" w:rsidR="00C22EDC" w:rsidRPr="005B10F3" w:rsidRDefault="00C22EDC" w:rsidP="00C22EDC">
      <w:pPr>
        <w:pStyle w:val="FootnoteText"/>
        <w:rPr>
          <w:lang w:val="es-MX"/>
        </w:rPr>
      </w:pPr>
    </w:p>
    <w:p w14:paraId="7BBB6E40" w14:textId="77777777" w:rsidR="00C22EDC" w:rsidRPr="005B10F3" w:rsidRDefault="00C22EDC" w:rsidP="00C22EDC">
      <w:pPr>
        <w:pStyle w:val="FootnoteText"/>
        <w:rPr>
          <w:lang w:val="es-MX"/>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0430"/>
    <w:multiLevelType w:val="hybridMultilevel"/>
    <w:tmpl w:val="B23C42C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F66748A"/>
    <w:multiLevelType w:val="hybridMultilevel"/>
    <w:tmpl w:val="5BAC2E70"/>
    <w:lvl w:ilvl="0" w:tplc="30605424">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FA2BAF"/>
    <w:multiLevelType w:val="hybridMultilevel"/>
    <w:tmpl w:val="16365D8A"/>
    <w:lvl w:ilvl="0" w:tplc="30605424">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272255"/>
    <w:multiLevelType w:val="hybridMultilevel"/>
    <w:tmpl w:val="6A5A8130"/>
    <w:lvl w:ilvl="0" w:tplc="30605424">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2080F41"/>
    <w:multiLevelType w:val="hybridMultilevel"/>
    <w:tmpl w:val="2B0E32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19027135">
    <w:abstractNumId w:val="3"/>
  </w:num>
  <w:num w:numId="2" w16cid:durableId="1169980047">
    <w:abstractNumId w:val="4"/>
  </w:num>
  <w:num w:numId="3" w16cid:durableId="28535772">
    <w:abstractNumId w:val="2"/>
  </w:num>
  <w:num w:numId="4" w16cid:durableId="779691606">
    <w:abstractNumId w:val="1"/>
  </w:num>
  <w:num w:numId="5" w16cid:durableId="1796866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DC"/>
    <w:rsid w:val="003E7C0F"/>
    <w:rsid w:val="00530A46"/>
    <w:rsid w:val="00680AD8"/>
    <w:rsid w:val="008947EE"/>
    <w:rsid w:val="00AF1C5A"/>
    <w:rsid w:val="00C22EDC"/>
    <w:rsid w:val="00CE0A2F"/>
    <w:rsid w:val="00F31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BA17"/>
  <w15:chartTrackingRefBased/>
  <w15:docId w15:val="{B7CA7516-FBE2-49FB-8492-511D70E3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EDC"/>
    <w:pPr>
      <w:ind w:left="720"/>
      <w:contextualSpacing/>
    </w:pPr>
  </w:style>
  <w:style w:type="paragraph" w:styleId="FootnoteText">
    <w:name w:val="footnote text"/>
    <w:basedOn w:val="Normal"/>
    <w:link w:val="FootnoteTextChar"/>
    <w:uiPriority w:val="99"/>
    <w:unhideWhenUsed/>
    <w:rsid w:val="00C22EDC"/>
    <w:pPr>
      <w:spacing w:after="0" w:line="240" w:lineRule="auto"/>
    </w:pPr>
    <w:rPr>
      <w:sz w:val="20"/>
      <w:szCs w:val="20"/>
    </w:rPr>
  </w:style>
  <w:style w:type="character" w:customStyle="1" w:styleId="FootnoteTextChar">
    <w:name w:val="Footnote Text Char"/>
    <w:basedOn w:val="DefaultParagraphFont"/>
    <w:link w:val="FootnoteText"/>
    <w:uiPriority w:val="99"/>
    <w:rsid w:val="00C22EDC"/>
    <w:rPr>
      <w:sz w:val="20"/>
      <w:szCs w:val="20"/>
    </w:rPr>
  </w:style>
  <w:style w:type="character" w:styleId="FootnoteReference">
    <w:name w:val="footnote reference"/>
    <w:basedOn w:val="DefaultParagraphFont"/>
    <w:uiPriority w:val="99"/>
    <w:semiHidden/>
    <w:unhideWhenUsed/>
    <w:rsid w:val="00C22EDC"/>
    <w:rPr>
      <w:vertAlign w:val="superscript"/>
    </w:rPr>
  </w:style>
  <w:style w:type="paragraph" w:styleId="Bibliography">
    <w:name w:val="Bibliography"/>
    <w:basedOn w:val="Normal"/>
    <w:next w:val="Normal"/>
    <w:uiPriority w:val="37"/>
    <w:unhideWhenUsed/>
    <w:rsid w:val="00C22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Dep18</b:Tag>
    <b:SourceType>Misc</b:SourceType>
    <b:Guid>{559BFD01-AE51-4434-8876-67F1AC4D253F}</b:Guid>
    <b:Author>
      <b:Author>
        <b:Corporate>Departamento Nacional de Estadística</b:Corporate>
      </b:Author>
    </b:Author>
    <b:Title>Censo Nacional de Población y Vivienda</b:Title>
    <b:Year>2018</b:Year>
    <b:RefOrder>1</b:RefOrder>
  </b:Source>
  <b:Source>
    <b:Tag>Pau22</b:Tag>
    <b:SourceType>Misc</b:SourceType>
    <b:Guid>{363EC659-21E0-497F-AE2F-3B9D64F163A0}</b:Guid>
    <b:Author>
      <b:Author>
        <b:NameList>
          <b:Person>
            <b:Last>Cerón</b:Last>
            <b:First>Paula</b:First>
          </b:Person>
        </b:NameList>
      </b:Author>
    </b:Author>
    <b:Title>Inclusión social, discapacidad y políticas públicas una mirada desde el actuar de las clínicas jurídicas</b:Title>
    <b:Year>2022</b:Year>
    <b:RefOrder>2</b:RefOrder>
  </b:Source>
</b:Sources>
</file>

<file path=customXml/itemProps1.xml><?xml version="1.0" encoding="utf-8"?>
<ds:datastoreItem xmlns:ds="http://schemas.openxmlformats.org/officeDocument/2006/customXml" ds:itemID="{3890A1CF-24DF-48B0-BB1F-D1C69A1F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3887</Words>
  <Characters>22161</Characters>
  <Application>Microsoft Office Word</Application>
  <DocSecurity>0</DocSecurity>
  <Lines>184</Lines>
  <Paragraphs>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Iván Pineda Aguilar</dc:creator>
  <cp:keywords/>
  <dc:description/>
  <cp:lastModifiedBy>Paula Andrea Ceron Arboleda</cp:lastModifiedBy>
  <cp:revision>2</cp:revision>
  <dcterms:created xsi:type="dcterms:W3CDTF">2022-09-15T03:53:00Z</dcterms:created>
  <dcterms:modified xsi:type="dcterms:W3CDTF">2022-09-15T03:53:00Z</dcterms:modified>
</cp:coreProperties>
</file>